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FF42E">
      <w:pPr>
        <w:pStyle w:val="3"/>
        <w:spacing w:before="120" w:beforeLines="50" w:line="360" w:lineRule="auto"/>
        <w:jc w:val="center"/>
        <w:rPr>
          <w:rFonts w:ascii="华文宋体" w:hAnsi="华文宋体" w:eastAsia="华文宋体"/>
          <w:b/>
          <w:sz w:val="32"/>
          <w:szCs w:val="32"/>
        </w:rPr>
      </w:pPr>
      <w:bookmarkStart w:id="0" w:name="安徽省外文学会学术会议会务服务询标文件"/>
      <w:r>
        <w:rPr>
          <w:rFonts w:hint="eastAsia" w:ascii="华文宋体" w:hAnsi="华文宋体" w:eastAsia="华文宋体"/>
          <w:b/>
          <w:sz w:val="32"/>
          <w:szCs w:val="32"/>
        </w:rPr>
        <w:t>安徽省外国语言文学学会2026年</w:t>
      </w:r>
      <w:r>
        <w:rPr>
          <w:rFonts w:hint="eastAsia" w:ascii="华文宋体" w:hAnsi="华文宋体" w:eastAsia="华文宋体"/>
          <w:b/>
          <w:sz w:val="32"/>
          <w:szCs w:val="32"/>
          <w:lang w:val="en-US" w:eastAsia="zh-CN"/>
        </w:rPr>
        <w:t>下半年</w:t>
      </w:r>
      <w:r>
        <w:rPr>
          <w:rFonts w:hint="eastAsia" w:ascii="华文宋体" w:hAnsi="华文宋体" w:eastAsia="华文宋体"/>
          <w:b/>
          <w:sz w:val="32"/>
          <w:szCs w:val="32"/>
        </w:rPr>
        <w:t>度会务服务供应商比选项目询价采购函</w:t>
      </w:r>
    </w:p>
    <w:p w14:paraId="32F4FF64">
      <w:pPr>
        <w:pStyle w:val="3"/>
        <w:spacing w:line="360" w:lineRule="auto"/>
        <w:jc w:val="right"/>
        <w:rPr>
          <w:rFonts w:ascii="华文宋体" w:hAnsi="华文宋体" w:eastAsia="华文宋体"/>
          <w:b/>
          <w:sz w:val="21"/>
          <w:szCs w:val="21"/>
        </w:rPr>
      </w:pPr>
      <w:r>
        <w:rPr>
          <w:rFonts w:hint="eastAsia" w:ascii="华文宋体" w:hAnsi="华文宋体" w:eastAsia="华文宋体"/>
          <w:b/>
          <w:sz w:val="21"/>
          <w:szCs w:val="21"/>
        </w:rPr>
        <w:t>编号： AFLL</w:t>
      </w:r>
      <w:r>
        <w:rPr>
          <w:rFonts w:ascii="华文宋体" w:hAnsi="华文宋体" w:eastAsia="华文宋体"/>
          <w:b/>
          <w:sz w:val="21"/>
          <w:szCs w:val="21"/>
        </w:rPr>
        <w:t>A</w:t>
      </w:r>
      <w:r>
        <w:rPr>
          <w:rFonts w:hint="eastAsia" w:ascii="华文宋体" w:hAnsi="华文宋体" w:eastAsia="华文宋体"/>
          <w:b/>
          <w:sz w:val="21"/>
          <w:szCs w:val="21"/>
        </w:rPr>
        <w:t>-2026-XJ001</w:t>
      </w:r>
    </w:p>
    <w:p w14:paraId="45EE4F09">
      <w:pPr>
        <w:pStyle w:val="3"/>
        <w:spacing w:before="120" w:beforeLines="50" w:line="360" w:lineRule="auto"/>
        <w:rPr>
          <w:rFonts w:ascii="华文宋体" w:hAnsi="华文宋体" w:eastAsia="华文宋体" w:cs="方正仿宋_GBK"/>
          <w:b/>
          <w:sz w:val="28"/>
          <w:szCs w:val="28"/>
        </w:rPr>
      </w:pPr>
      <w:bookmarkStart w:id="1" w:name="第一部分-询标邀请书"/>
      <w:r>
        <w:rPr>
          <w:rFonts w:hint="eastAsia" w:ascii="华文宋体" w:hAnsi="华文宋体" w:eastAsia="华文宋体" w:cs="方正仿宋_GBK"/>
          <w:b/>
          <w:sz w:val="28"/>
          <w:szCs w:val="28"/>
        </w:rPr>
        <w:t xml:space="preserve"> 致：各潜在会务服务供应商</w:t>
      </w:r>
    </w:p>
    <w:p w14:paraId="5712F4C5">
      <w:pPr>
        <w:pStyle w:val="3"/>
        <w:spacing w:line="360" w:lineRule="auto"/>
        <w:ind w:firstLine="480" w:firstLineChars="200"/>
        <w:rPr>
          <w:rFonts w:ascii="华文宋体" w:hAnsi="华文宋体" w:eastAsia="华文宋体" w:cs="方正仿宋_GBK"/>
        </w:rPr>
      </w:pPr>
      <w:r>
        <w:rPr>
          <w:rFonts w:hint="eastAsia" w:ascii="华文宋体" w:hAnsi="华文宋体" w:eastAsia="华文宋体" w:cs="方正仿宋_GBK"/>
        </w:rPr>
        <w:t>为满足安徽省外国语言文学学会（以下简称“本学会”）相关学术会议及论坛的筹办需求，根据《安徽省外国语言文学学会会务服务询价采购管理办法》相关规定，现就“安徽省外国语言文学学会2</w:t>
      </w:r>
      <w:r>
        <w:rPr>
          <w:rFonts w:ascii="华文宋体" w:hAnsi="华文宋体" w:eastAsia="华文宋体" w:cs="方正仿宋_GBK"/>
        </w:rPr>
        <w:t>026</w:t>
      </w:r>
      <w:r>
        <w:rPr>
          <w:rFonts w:hint="eastAsia" w:ascii="华文宋体" w:hAnsi="华文宋体" w:eastAsia="华文宋体" w:cs="方正仿宋_GBK"/>
        </w:rPr>
        <w:t>年</w:t>
      </w:r>
      <w:r>
        <w:rPr>
          <w:rFonts w:hint="eastAsia" w:ascii="华文宋体" w:hAnsi="华文宋体" w:eastAsia="华文宋体" w:cs="方正仿宋_GBK"/>
          <w:lang w:val="en-US" w:eastAsia="zh-CN"/>
        </w:rPr>
        <w:t>下半年</w:t>
      </w:r>
      <w:r>
        <w:rPr>
          <w:rFonts w:hint="eastAsia" w:ascii="华文宋体" w:hAnsi="华文宋体" w:eastAsia="华文宋体" w:cs="方正仿宋_GBK"/>
        </w:rPr>
        <w:t>度会务服务供应商比选项目”进行公开询价采购，诚邀贵单位参与。</w:t>
      </w:r>
    </w:p>
    <w:p w14:paraId="1DDFCA8D">
      <w:pPr>
        <w:pStyle w:val="3"/>
        <w:spacing w:before="120" w:beforeLines="50" w:line="360" w:lineRule="auto"/>
        <w:rPr>
          <w:rFonts w:ascii="华文宋体" w:hAnsi="华文宋体" w:eastAsia="华文宋体" w:cs="方正仿宋_GBK"/>
          <w:b/>
          <w:sz w:val="28"/>
          <w:szCs w:val="28"/>
        </w:rPr>
      </w:pPr>
      <w:r>
        <w:rPr>
          <w:rFonts w:hint="eastAsia" w:ascii="华文宋体" w:hAnsi="华文宋体" w:eastAsia="华文宋体" w:cs="方正仿宋_GBK"/>
          <w:b/>
          <w:sz w:val="28"/>
          <w:szCs w:val="28"/>
        </w:rPr>
        <w:t>一、项目基本信息</w:t>
      </w:r>
    </w:p>
    <w:p w14:paraId="7812B377">
      <w:pPr>
        <w:pStyle w:val="3"/>
        <w:spacing w:line="360" w:lineRule="auto"/>
        <w:rPr>
          <w:rFonts w:ascii="华文宋体" w:hAnsi="华文宋体" w:eastAsia="华文宋体" w:cs="方正仿宋_GBK"/>
        </w:rPr>
      </w:pPr>
      <w:r>
        <w:rPr>
          <w:rFonts w:hint="eastAsia" w:ascii="华文宋体" w:hAnsi="华文宋体" w:eastAsia="华文宋体" w:cs="方正仿宋_GBK"/>
          <w:b/>
        </w:rPr>
        <w:t>1</w:t>
      </w:r>
      <w:r>
        <w:rPr>
          <w:rFonts w:ascii="华文宋体" w:hAnsi="华文宋体" w:eastAsia="华文宋体" w:cs="方正仿宋_GBK"/>
          <w:b/>
        </w:rPr>
        <w:t>.</w:t>
      </w:r>
      <w:r>
        <w:rPr>
          <w:rFonts w:hint="eastAsia" w:ascii="华文宋体" w:hAnsi="华文宋体" w:eastAsia="华文宋体" w:cs="方正仿宋_GBK"/>
          <w:b/>
        </w:rPr>
        <w:t>项目名称：</w:t>
      </w:r>
      <w:r>
        <w:rPr>
          <w:rFonts w:hint="eastAsia" w:ascii="华文宋体" w:hAnsi="华文宋体" w:eastAsia="华文宋体" w:cs="方正仿宋_GBK"/>
        </w:rPr>
        <w:t>安徽省外国语言文学学会2</w:t>
      </w:r>
      <w:r>
        <w:rPr>
          <w:rFonts w:ascii="华文宋体" w:hAnsi="华文宋体" w:eastAsia="华文宋体" w:cs="方正仿宋_GBK"/>
        </w:rPr>
        <w:t>026</w:t>
      </w:r>
      <w:r>
        <w:rPr>
          <w:rFonts w:hint="eastAsia" w:ascii="华文宋体" w:hAnsi="华文宋体" w:eastAsia="华文宋体" w:cs="方正仿宋_GBK"/>
        </w:rPr>
        <w:t>年</w:t>
      </w:r>
      <w:r>
        <w:rPr>
          <w:rFonts w:hint="eastAsia" w:ascii="华文宋体" w:hAnsi="华文宋体" w:eastAsia="华文宋体" w:cs="方正仿宋_GBK"/>
          <w:lang w:val="en-US" w:eastAsia="zh-CN"/>
        </w:rPr>
        <w:t>下半年</w:t>
      </w:r>
      <w:r>
        <w:rPr>
          <w:rFonts w:hint="eastAsia" w:ascii="华文宋体" w:hAnsi="华文宋体" w:eastAsia="华文宋体" w:cs="方正仿宋_GBK"/>
        </w:rPr>
        <w:t>度会务服务供应商比选项目</w:t>
      </w:r>
    </w:p>
    <w:p w14:paraId="72F59198">
      <w:pPr>
        <w:pStyle w:val="3"/>
        <w:spacing w:line="360" w:lineRule="auto"/>
        <w:rPr>
          <w:rFonts w:ascii="华文宋体" w:hAnsi="华文宋体" w:eastAsia="华文宋体" w:cs="方正仿宋_GBK"/>
        </w:rPr>
      </w:pPr>
      <w:r>
        <w:rPr>
          <w:rFonts w:hint="eastAsia" w:ascii="华文宋体" w:hAnsi="华文宋体" w:eastAsia="华文宋体" w:cs="方正仿宋_GBK"/>
          <w:b/>
        </w:rPr>
        <w:t>2</w:t>
      </w:r>
      <w:r>
        <w:rPr>
          <w:rFonts w:ascii="华文宋体" w:hAnsi="华文宋体" w:eastAsia="华文宋体" w:cs="方正仿宋_GBK"/>
          <w:b/>
        </w:rPr>
        <w:t>.</w:t>
      </w:r>
      <w:r>
        <w:rPr>
          <w:rFonts w:hint="eastAsia" w:ascii="华文宋体" w:hAnsi="华文宋体" w:eastAsia="华文宋体" w:cs="方正仿宋_GBK"/>
          <w:b/>
        </w:rPr>
        <w:t>内容预算：</w:t>
      </w:r>
      <w:r>
        <w:rPr>
          <w:rFonts w:hint="eastAsia" w:ascii="华文宋体" w:hAnsi="华文宋体" w:eastAsia="华文宋体" w:cs="方正仿宋_GBK"/>
        </w:rPr>
        <w:t>负责本学会2026年</w:t>
      </w:r>
      <w:r>
        <w:rPr>
          <w:rFonts w:hint="eastAsia" w:ascii="华文宋体" w:hAnsi="华文宋体" w:eastAsia="华文宋体" w:cs="方正仿宋_GBK"/>
          <w:lang w:val="en-US" w:eastAsia="zh-CN"/>
        </w:rPr>
        <w:t>下半年</w:t>
      </w:r>
      <w:r>
        <w:rPr>
          <w:rFonts w:hint="eastAsia" w:ascii="华文宋体" w:hAnsi="华文宋体" w:eastAsia="华文宋体" w:cs="方正仿宋_GBK"/>
        </w:rPr>
        <w:t>度拟举办的学术年会、论坛、专题研讨会等会议的会务服务，主要包括以下内容：（注：潜在投标人单项报价不得超过预算限制价）</w:t>
      </w:r>
    </w:p>
    <w:tbl>
      <w:tblPr>
        <w:tblStyle w:val="90"/>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4252"/>
        <w:gridCol w:w="709"/>
        <w:gridCol w:w="709"/>
        <w:gridCol w:w="1134"/>
      </w:tblGrid>
      <w:tr w14:paraId="45A6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14:paraId="62EB2A0D">
            <w:pPr>
              <w:pStyle w:val="3"/>
              <w:spacing w:line="360" w:lineRule="auto"/>
              <w:rPr>
                <w:rFonts w:ascii="华文宋体" w:hAnsi="华文宋体" w:eastAsia="华文宋体"/>
                <w:kern w:val="2"/>
              </w:rPr>
            </w:pPr>
            <w:r>
              <w:rPr>
                <w:rFonts w:hint="eastAsia" w:ascii="华文宋体" w:hAnsi="华文宋体" w:eastAsia="华文宋体"/>
                <w:kern w:val="2"/>
              </w:rPr>
              <w:t>序号</w:t>
            </w:r>
          </w:p>
        </w:tc>
        <w:tc>
          <w:tcPr>
            <w:tcW w:w="1418" w:type="dxa"/>
            <w:vAlign w:val="center"/>
          </w:tcPr>
          <w:p w14:paraId="72B92988">
            <w:pPr>
              <w:pStyle w:val="3"/>
              <w:spacing w:line="360" w:lineRule="auto"/>
              <w:rPr>
                <w:rFonts w:ascii="华文宋体" w:hAnsi="华文宋体" w:eastAsia="华文宋体"/>
                <w:kern w:val="2"/>
              </w:rPr>
            </w:pPr>
            <w:r>
              <w:rPr>
                <w:rFonts w:ascii="华文宋体" w:hAnsi="华文宋体" w:eastAsia="华文宋体"/>
                <w:kern w:val="2"/>
              </w:rPr>
              <w:t>物品名称</w:t>
            </w:r>
          </w:p>
        </w:tc>
        <w:tc>
          <w:tcPr>
            <w:tcW w:w="4252" w:type="dxa"/>
            <w:vAlign w:val="center"/>
          </w:tcPr>
          <w:p w14:paraId="447B4D6D">
            <w:pPr>
              <w:pStyle w:val="3"/>
              <w:spacing w:line="360" w:lineRule="auto"/>
              <w:rPr>
                <w:rFonts w:ascii="华文宋体" w:hAnsi="华文宋体" w:eastAsia="华文宋体"/>
                <w:kern w:val="2"/>
              </w:rPr>
            </w:pPr>
            <w:r>
              <w:rPr>
                <w:rFonts w:ascii="华文宋体" w:hAnsi="华文宋体" w:eastAsia="华文宋体"/>
                <w:kern w:val="2"/>
              </w:rPr>
              <w:t>规格要求</w:t>
            </w:r>
          </w:p>
        </w:tc>
        <w:tc>
          <w:tcPr>
            <w:tcW w:w="709" w:type="dxa"/>
            <w:vAlign w:val="center"/>
          </w:tcPr>
          <w:p w14:paraId="495634BA">
            <w:pPr>
              <w:pStyle w:val="3"/>
              <w:spacing w:line="360" w:lineRule="auto"/>
              <w:rPr>
                <w:rFonts w:ascii="华文宋体" w:hAnsi="华文宋体" w:eastAsia="华文宋体"/>
                <w:kern w:val="2"/>
              </w:rPr>
            </w:pPr>
            <w:r>
              <w:rPr>
                <w:rFonts w:ascii="华文宋体" w:hAnsi="华文宋体" w:eastAsia="华文宋体"/>
                <w:kern w:val="2"/>
              </w:rPr>
              <w:t>数量</w:t>
            </w:r>
          </w:p>
        </w:tc>
        <w:tc>
          <w:tcPr>
            <w:tcW w:w="709" w:type="dxa"/>
            <w:vAlign w:val="center"/>
          </w:tcPr>
          <w:p w14:paraId="0B318D27">
            <w:pPr>
              <w:pStyle w:val="3"/>
              <w:spacing w:line="360" w:lineRule="auto"/>
              <w:rPr>
                <w:rFonts w:ascii="华文宋体" w:hAnsi="华文宋体" w:eastAsia="华文宋体"/>
                <w:kern w:val="2"/>
              </w:rPr>
            </w:pPr>
            <w:r>
              <w:rPr>
                <w:rFonts w:ascii="华文宋体" w:hAnsi="华文宋体" w:eastAsia="华文宋体"/>
                <w:kern w:val="2"/>
              </w:rPr>
              <w:t>单位</w:t>
            </w:r>
          </w:p>
        </w:tc>
        <w:tc>
          <w:tcPr>
            <w:tcW w:w="1134" w:type="dxa"/>
            <w:vAlign w:val="center"/>
          </w:tcPr>
          <w:p w14:paraId="0700D2E2">
            <w:pPr>
              <w:pStyle w:val="3"/>
              <w:spacing w:line="360" w:lineRule="auto"/>
              <w:rPr>
                <w:rFonts w:ascii="华文宋体" w:hAnsi="华文宋体" w:eastAsia="华文宋体"/>
                <w:kern w:val="2"/>
              </w:rPr>
            </w:pPr>
            <w:r>
              <w:rPr>
                <w:rFonts w:hint="eastAsia" w:ascii="华文宋体" w:hAnsi="华文宋体" w:eastAsia="华文宋体"/>
                <w:kern w:val="2"/>
              </w:rPr>
              <w:t>控制价</w:t>
            </w:r>
          </w:p>
        </w:tc>
      </w:tr>
      <w:tr w14:paraId="79CB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tcBorders>
              <w:bottom w:val="single" w:color="auto" w:sz="4" w:space="0"/>
            </w:tcBorders>
            <w:vAlign w:val="center"/>
          </w:tcPr>
          <w:p w14:paraId="3286D5FC">
            <w:pPr>
              <w:pStyle w:val="3"/>
              <w:spacing w:line="360" w:lineRule="auto"/>
              <w:jc w:val="center"/>
              <w:rPr>
                <w:rFonts w:ascii="华文宋体" w:hAnsi="华文宋体" w:eastAsia="华文宋体"/>
                <w:kern w:val="2"/>
              </w:rPr>
            </w:pPr>
            <w:r>
              <w:rPr>
                <w:rFonts w:hint="eastAsia" w:ascii="华文宋体" w:hAnsi="华文宋体" w:eastAsia="华文宋体"/>
                <w:b/>
                <w:kern w:val="2"/>
              </w:rPr>
              <w:t>（一）会议材料</w:t>
            </w:r>
          </w:p>
        </w:tc>
      </w:tr>
      <w:tr w14:paraId="7B92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1ED19155">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tcBorders>
              <w:top w:val="single" w:color="auto" w:sz="4" w:space="0"/>
              <w:left w:val="nil"/>
              <w:bottom w:val="single" w:color="auto" w:sz="4" w:space="0"/>
              <w:right w:val="nil"/>
            </w:tcBorders>
            <w:shd w:val="clear" w:color="auto" w:fill="FFFFFF"/>
            <w:vAlign w:val="center"/>
          </w:tcPr>
          <w:p w14:paraId="68C135EE">
            <w:pPr>
              <w:pStyle w:val="3"/>
              <w:spacing w:line="360" w:lineRule="auto"/>
              <w:jc w:val="center"/>
              <w:rPr>
                <w:rFonts w:ascii="华文宋体" w:hAnsi="华文宋体" w:eastAsia="华文宋体"/>
                <w:kern w:val="2"/>
              </w:rPr>
            </w:pPr>
            <w:r>
              <w:rPr>
                <w:rFonts w:hint="eastAsia" w:ascii="华文宋体" w:hAnsi="华文宋体" w:eastAsia="华文宋体"/>
                <w:kern w:val="2"/>
              </w:rPr>
              <w:t>会议桁架1</w:t>
            </w:r>
          </w:p>
        </w:tc>
        <w:tc>
          <w:tcPr>
            <w:tcW w:w="4252" w:type="dxa"/>
            <w:tcBorders>
              <w:top w:val="single" w:color="auto" w:sz="4" w:space="0"/>
              <w:bottom w:val="single" w:color="auto" w:sz="4" w:space="0"/>
            </w:tcBorders>
            <w:shd w:val="clear" w:color="auto" w:fill="FFFFFF" w:themeFill="background1"/>
            <w:vAlign w:val="center"/>
          </w:tcPr>
          <w:p w14:paraId="573ED34F">
            <w:pPr>
              <w:pStyle w:val="3"/>
              <w:spacing w:line="360" w:lineRule="auto"/>
              <w:rPr>
                <w:rFonts w:ascii="华文宋体" w:hAnsi="华文宋体" w:eastAsia="华文宋体"/>
                <w:kern w:val="2"/>
              </w:rPr>
            </w:pPr>
            <w:r>
              <w:rPr>
                <w:rFonts w:hint="eastAsia" w:ascii="华文宋体" w:hAnsi="华文宋体" w:eastAsia="华文宋体" w:cs="仿宋"/>
                <w:kern w:val="2"/>
              </w:rPr>
              <w:t>需满足会议摆放场地需求提供及时安装和拆卸服务；规格：8*5M，画面采用超宽黑白布无缝拼接。</w:t>
            </w:r>
          </w:p>
        </w:tc>
        <w:tc>
          <w:tcPr>
            <w:tcW w:w="709" w:type="dxa"/>
            <w:tcBorders>
              <w:top w:val="single" w:color="auto" w:sz="4" w:space="0"/>
              <w:bottom w:val="single" w:color="auto" w:sz="4" w:space="0"/>
            </w:tcBorders>
            <w:shd w:val="clear" w:color="auto" w:fill="FFFFFF"/>
            <w:vAlign w:val="center"/>
          </w:tcPr>
          <w:p w14:paraId="203D7476">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70A9A8E2">
            <w:pPr>
              <w:pStyle w:val="3"/>
              <w:spacing w:line="360" w:lineRule="auto"/>
              <w:jc w:val="center"/>
              <w:rPr>
                <w:rFonts w:ascii="华文宋体" w:hAnsi="华文宋体" w:eastAsia="华文宋体"/>
                <w:kern w:val="2"/>
              </w:rPr>
            </w:pPr>
            <w:r>
              <w:rPr>
                <w:rFonts w:hint="eastAsia" w:ascii="华文宋体" w:hAnsi="华文宋体" w:eastAsia="华文宋体"/>
                <w:kern w:val="2"/>
              </w:rPr>
              <w:t>个</w:t>
            </w:r>
          </w:p>
        </w:tc>
        <w:tc>
          <w:tcPr>
            <w:tcW w:w="1134" w:type="dxa"/>
            <w:vAlign w:val="center"/>
          </w:tcPr>
          <w:p w14:paraId="37C0D406">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800.00</w:t>
            </w:r>
          </w:p>
        </w:tc>
      </w:tr>
      <w:tr w14:paraId="671C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4568E8AA">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tcBorders>
              <w:top w:val="single" w:color="auto" w:sz="4" w:space="0"/>
              <w:left w:val="nil"/>
              <w:bottom w:val="single" w:color="auto" w:sz="4" w:space="0"/>
              <w:right w:val="nil"/>
            </w:tcBorders>
            <w:shd w:val="clear" w:color="auto" w:fill="FFFFFF"/>
            <w:vAlign w:val="center"/>
          </w:tcPr>
          <w:p w14:paraId="64B2A3B0">
            <w:pPr>
              <w:pStyle w:val="3"/>
              <w:spacing w:line="360" w:lineRule="auto"/>
              <w:jc w:val="center"/>
              <w:rPr>
                <w:rFonts w:ascii="华文宋体" w:hAnsi="华文宋体" w:eastAsia="华文宋体"/>
                <w:kern w:val="2"/>
              </w:rPr>
            </w:pPr>
            <w:r>
              <w:rPr>
                <w:rFonts w:hint="eastAsia" w:ascii="华文宋体" w:hAnsi="华文宋体" w:eastAsia="华文宋体"/>
                <w:kern w:val="2"/>
              </w:rPr>
              <w:t>会议桁架2</w:t>
            </w:r>
          </w:p>
        </w:tc>
        <w:tc>
          <w:tcPr>
            <w:tcW w:w="4252" w:type="dxa"/>
            <w:tcBorders>
              <w:top w:val="single" w:color="auto" w:sz="4" w:space="0"/>
              <w:bottom w:val="single" w:color="auto" w:sz="4" w:space="0"/>
            </w:tcBorders>
            <w:shd w:val="clear" w:color="auto" w:fill="FFFFFF" w:themeFill="background1"/>
            <w:vAlign w:val="center"/>
          </w:tcPr>
          <w:p w14:paraId="343E804A">
            <w:pPr>
              <w:pStyle w:val="3"/>
              <w:spacing w:line="360" w:lineRule="auto"/>
              <w:rPr>
                <w:rFonts w:ascii="华文宋体" w:hAnsi="华文宋体" w:eastAsia="华文宋体"/>
                <w:kern w:val="2"/>
              </w:rPr>
            </w:pPr>
            <w:r>
              <w:rPr>
                <w:rFonts w:hint="eastAsia" w:ascii="华文宋体" w:hAnsi="华文宋体" w:eastAsia="华文宋体" w:cs="仿宋"/>
                <w:kern w:val="2"/>
              </w:rPr>
              <w:t>需满足会议摆放场地需求提供及时安装和拆卸服务；规格：5*3M，画面采用超宽黑白布无缝拼接。</w:t>
            </w:r>
          </w:p>
        </w:tc>
        <w:tc>
          <w:tcPr>
            <w:tcW w:w="709" w:type="dxa"/>
            <w:tcBorders>
              <w:top w:val="single" w:color="auto" w:sz="4" w:space="0"/>
              <w:bottom w:val="single" w:color="auto" w:sz="4" w:space="0"/>
            </w:tcBorders>
            <w:shd w:val="clear" w:color="auto" w:fill="FFFFFF"/>
            <w:vAlign w:val="center"/>
          </w:tcPr>
          <w:p w14:paraId="5CCC5931">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2686A37D">
            <w:pPr>
              <w:pStyle w:val="3"/>
              <w:spacing w:line="360" w:lineRule="auto"/>
              <w:jc w:val="center"/>
              <w:rPr>
                <w:rFonts w:ascii="华文宋体" w:hAnsi="华文宋体" w:eastAsia="华文宋体"/>
                <w:kern w:val="2"/>
              </w:rPr>
            </w:pPr>
            <w:r>
              <w:rPr>
                <w:rFonts w:hint="eastAsia" w:ascii="华文宋体" w:hAnsi="华文宋体" w:eastAsia="华文宋体"/>
                <w:kern w:val="2"/>
              </w:rPr>
              <w:t>个</w:t>
            </w:r>
          </w:p>
        </w:tc>
        <w:tc>
          <w:tcPr>
            <w:tcW w:w="1134" w:type="dxa"/>
            <w:vAlign w:val="center"/>
          </w:tcPr>
          <w:p w14:paraId="163AC176">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500.00</w:t>
            </w:r>
          </w:p>
        </w:tc>
      </w:tr>
      <w:tr w14:paraId="135C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4EEE9ADE">
            <w:pPr>
              <w:pStyle w:val="3"/>
              <w:spacing w:line="360" w:lineRule="auto"/>
              <w:rPr>
                <w:rFonts w:ascii="华文宋体" w:hAnsi="华文宋体" w:eastAsia="华文宋体"/>
                <w:kern w:val="2"/>
              </w:rPr>
            </w:pPr>
            <w:r>
              <w:rPr>
                <w:rFonts w:hint="eastAsia" w:ascii="华文宋体" w:hAnsi="华文宋体" w:eastAsia="华文宋体"/>
                <w:kern w:val="2"/>
              </w:rPr>
              <w:t>3</w:t>
            </w:r>
          </w:p>
        </w:tc>
        <w:tc>
          <w:tcPr>
            <w:tcW w:w="1418" w:type="dxa"/>
            <w:tcBorders>
              <w:top w:val="single" w:color="auto" w:sz="4" w:space="0"/>
              <w:left w:val="nil"/>
              <w:bottom w:val="single" w:color="auto" w:sz="4" w:space="0"/>
              <w:right w:val="nil"/>
            </w:tcBorders>
            <w:shd w:val="clear" w:color="auto" w:fill="FFFFFF"/>
            <w:vAlign w:val="center"/>
          </w:tcPr>
          <w:p w14:paraId="32B81BA7">
            <w:pPr>
              <w:pStyle w:val="3"/>
              <w:spacing w:line="360" w:lineRule="auto"/>
              <w:jc w:val="center"/>
              <w:rPr>
                <w:rFonts w:ascii="华文宋体" w:hAnsi="华文宋体" w:eastAsia="华文宋体"/>
                <w:kern w:val="2"/>
              </w:rPr>
            </w:pPr>
            <w:r>
              <w:rPr>
                <w:rFonts w:hint="eastAsia" w:ascii="华文宋体" w:hAnsi="华文宋体" w:eastAsia="华文宋体"/>
                <w:kern w:val="2"/>
              </w:rPr>
              <w:t>门型展架</w:t>
            </w:r>
          </w:p>
        </w:tc>
        <w:tc>
          <w:tcPr>
            <w:tcW w:w="4252" w:type="dxa"/>
            <w:tcBorders>
              <w:top w:val="single" w:color="auto" w:sz="4" w:space="0"/>
              <w:bottom w:val="single" w:color="auto" w:sz="4" w:space="0"/>
            </w:tcBorders>
            <w:shd w:val="clear" w:color="auto" w:fill="FFFFFF" w:themeFill="background1"/>
            <w:vAlign w:val="center"/>
          </w:tcPr>
          <w:p w14:paraId="5C09A9D0">
            <w:pPr>
              <w:pStyle w:val="3"/>
              <w:spacing w:line="360" w:lineRule="auto"/>
              <w:rPr>
                <w:rFonts w:ascii="华文宋体" w:hAnsi="华文宋体" w:eastAsia="华文宋体"/>
                <w:kern w:val="2"/>
              </w:rPr>
            </w:pPr>
            <w:r>
              <w:rPr>
                <w:rFonts w:hint="eastAsia" w:ascii="华文宋体" w:hAnsi="华文宋体" w:eastAsia="华文宋体" w:cs="仿宋"/>
                <w:kern w:val="2"/>
              </w:rPr>
              <w:t>80*180CM，配门型展架。</w:t>
            </w:r>
          </w:p>
        </w:tc>
        <w:tc>
          <w:tcPr>
            <w:tcW w:w="709" w:type="dxa"/>
            <w:tcBorders>
              <w:top w:val="single" w:color="auto" w:sz="4" w:space="0"/>
              <w:bottom w:val="single" w:color="auto" w:sz="4" w:space="0"/>
            </w:tcBorders>
            <w:shd w:val="clear" w:color="auto" w:fill="FFFFFF"/>
            <w:vAlign w:val="center"/>
          </w:tcPr>
          <w:p w14:paraId="79C469B9">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7F18E440">
            <w:pPr>
              <w:pStyle w:val="3"/>
              <w:spacing w:line="360" w:lineRule="auto"/>
              <w:jc w:val="center"/>
              <w:rPr>
                <w:rFonts w:ascii="华文宋体" w:hAnsi="华文宋体" w:eastAsia="华文宋体"/>
                <w:kern w:val="2"/>
              </w:rPr>
            </w:pPr>
            <w:r>
              <w:rPr>
                <w:rFonts w:hint="eastAsia" w:ascii="华文宋体" w:hAnsi="华文宋体" w:eastAsia="华文宋体"/>
                <w:kern w:val="2"/>
              </w:rPr>
              <w:t>个</w:t>
            </w:r>
          </w:p>
        </w:tc>
        <w:tc>
          <w:tcPr>
            <w:tcW w:w="1134" w:type="dxa"/>
            <w:vAlign w:val="center"/>
          </w:tcPr>
          <w:p w14:paraId="78F969CD">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80.00</w:t>
            </w:r>
          </w:p>
        </w:tc>
      </w:tr>
      <w:tr w14:paraId="0B0D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6B80554D">
            <w:pPr>
              <w:pStyle w:val="3"/>
              <w:spacing w:line="360" w:lineRule="auto"/>
              <w:rPr>
                <w:rFonts w:ascii="华文宋体" w:hAnsi="华文宋体" w:eastAsia="华文宋体"/>
                <w:kern w:val="2"/>
              </w:rPr>
            </w:pPr>
            <w:r>
              <w:rPr>
                <w:rFonts w:hint="eastAsia" w:ascii="华文宋体" w:hAnsi="华文宋体" w:eastAsia="华文宋体"/>
                <w:kern w:val="2"/>
              </w:rPr>
              <w:t>4</w:t>
            </w:r>
          </w:p>
        </w:tc>
        <w:tc>
          <w:tcPr>
            <w:tcW w:w="1418" w:type="dxa"/>
            <w:tcBorders>
              <w:top w:val="single" w:color="auto" w:sz="4" w:space="0"/>
              <w:left w:val="nil"/>
              <w:bottom w:val="single" w:color="auto" w:sz="4" w:space="0"/>
              <w:right w:val="nil"/>
            </w:tcBorders>
            <w:shd w:val="clear" w:color="auto" w:fill="FFFFFF"/>
            <w:vAlign w:val="center"/>
          </w:tcPr>
          <w:p w14:paraId="35555A2B">
            <w:pPr>
              <w:pStyle w:val="3"/>
              <w:spacing w:line="360" w:lineRule="auto"/>
              <w:jc w:val="center"/>
              <w:rPr>
                <w:rFonts w:ascii="华文宋体" w:hAnsi="华文宋体" w:eastAsia="华文宋体"/>
                <w:kern w:val="2"/>
              </w:rPr>
            </w:pPr>
            <w:r>
              <w:rPr>
                <w:rFonts w:hint="eastAsia" w:ascii="华文宋体" w:hAnsi="华文宋体" w:eastAsia="华文宋体"/>
                <w:kern w:val="2"/>
              </w:rPr>
              <w:t>会议手册</w:t>
            </w:r>
          </w:p>
        </w:tc>
        <w:tc>
          <w:tcPr>
            <w:tcW w:w="4252" w:type="dxa"/>
            <w:tcBorders>
              <w:top w:val="single" w:color="auto" w:sz="4" w:space="0"/>
              <w:bottom w:val="single" w:color="auto" w:sz="4" w:space="0"/>
            </w:tcBorders>
            <w:shd w:val="clear" w:color="auto" w:fill="FFFFFF" w:themeFill="background1"/>
            <w:vAlign w:val="center"/>
          </w:tcPr>
          <w:p w14:paraId="2670EC61">
            <w:pPr>
              <w:pStyle w:val="3"/>
              <w:spacing w:line="360" w:lineRule="auto"/>
              <w:rPr>
                <w:rFonts w:ascii="华文宋体" w:hAnsi="华文宋体" w:eastAsia="华文宋体"/>
                <w:kern w:val="2"/>
              </w:rPr>
            </w:pPr>
            <w:r>
              <w:rPr>
                <w:rFonts w:hint="eastAsia" w:ascii="华文宋体" w:hAnsi="华文宋体" w:eastAsia="华文宋体" w:cs="仿宋"/>
                <w:kern w:val="2"/>
              </w:rPr>
              <w:t>A4，封面250g铜版纸，内页100g双胶a4纸彩打，胶装</w:t>
            </w:r>
          </w:p>
        </w:tc>
        <w:tc>
          <w:tcPr>
            <w:tcW w:w="709" w:type="dxa"/>
            <w:tcBorders>
              <w:top w:val="single" w:color="auto" w:sz="4" w:space="0"/>
              <w:bottom w:val="single" w:color="auto" w:sz="4" w:space="0"/>
            </w:tcBorders>
            <w:shd w:val="clear" w:color="auto" w:fill="FFFFFF"/>
            <w:vAlign w:val="center"/>
          </w:tcPr>
          <w:p w14:paraId="55290706">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21FF5D74">
            <w:pPr>
              <w:pStyle w:val="3"/>
              <w:spacing w:line="360" w:lineRule="auto"/>
              <w:jc w:val="center"/>
              <w:rPr>
                <w:rFonts w:ascii="华文宋体" w:hAnsi="华文宋体" w:eastAsia="华文宋体"/>
                <w:kern w:val="2"/>
              </w:rPr>
            </w:pPr>
            <w:r>
              <w:rPr>
                <w:rFonts w:hint="eastAsia" w:ascii="华文宋体" w:hAnsi="华文宋体" w:eastAsia="华文宋体"/>
                <w:kern w:val="2"/>
              </w:rPr>
              <w:t>本</w:t>
            </w:r>
          </w:p>
        </w:tc>
        <w:tc>
          <w:tcPr>
            <w:tcW w:w="1134" w:type="dxa"/>
            <w:vAlign w:val="center"/>
          </w:tcPr>
          <w:p w14:paraId="5CB0F0AC">
            <w:pPr>
              <w:pStyle w:val="3"/>
              <w:spacing w:line="360" w:lineRule="auto"/>
              <w:jc w:val="center"/>
              <w:rPr>
                <w:rFonts w:ascii="华文宋体" w:hAnsi="华文宋体" w:eastAsia="华文宋体"/>
                <w:kern w:val="2"/>
              </w:rPr>
            </w:pPr>
            <w:r>
              <w:rPr>
                <w:rFonts w:hint="eastAsia" w:ascii="华文宋体" w:hAnsi="华文宋体" w:eastAsia="华文宋体"/>
                <w:kern w:val="2"/>
              </w:rPr>
              <w:t>5</w:t>
            </w:r>
            <w:r>
              <w:rPr>
                <w:rFonts w:ascii="华文宋体" w:hAnsi="华文宋体" w:eastAsia="华文宋体"/>
                <w:kern w:val="2"/>
              </w:rPr>
              <w:t>0.00</w:t>
            </w:r>
          </w:p>
        </w:tc>
      </w:tr>
      <w:tr w14:paraId="6B7E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2F39AC94">
            <w:pPr>
              <w:pStyle w:val="3"/>
              <w:spacing w:line="360" w:lineRule="auto"/>
              <w:rPr>
                <w:rFonts w:ascii="华文宋体" w:hAnsi="华文宋体" w:eastAsia="华文宋体"/>
                <w:kern w:val="2"/>
              </w:rPr>
            </w:pPr>
            <w:r>
              <w:rPr>
                <w:rFonts w:hint="eastAsia" w:ascii="华文宋体" w:hAnsi="华文宋体" w:eastAsia="华文宋体"/>
                <w:kern w:val="2"/>
              </w:rPr>
              <w:t>5</w:t>
            </w:r>
          </w:p>
        </w:tc>
        <w:tc>
          <w:tcPr>
            <w:tcW w:w="1418" w:type="dxa"/>
            <w:tcBorders>
              <w:top w:val="single" w:color="auto" w:sz="4" w:space="0"/>
              <w:left w:val="nil"/>
              <w:bottom w:val="single" w:color="auto" w:sz="4" w:space="0"/>
              <w:right w:val="nil"/>
            </w:tcBorders>
            <w:shd w:val="clear" w:color="auto" w:fill="FFFFFF"/>
            <w:vAlign w:val="center"/>
          </w:tcPr>
          <w:p w14:paraId="529E858D">
            <w:pPr>
              <w:pStyle w:val="3"/>
              <w:spacing w:line="360" w:lineRule="auto"/>
              <w:jc w:val="center"/>
              <w:rPr>
                <w:rFonts w:ascii="华文宋体" w:hAnsi="华文宋体" w:eastAsia="华文宋体"/>
                <w:kern w:val="2"/>
              </w:rPr>
            </w:pPr>
            <w:r>
              <w:rPr>
                <w:rFonts w:hint="eastAsia" w:ascii="华文宋体" w:hAnsi="华文宋体" w:eastAsia="华文宋体"/>
                <w:kern w:val="2"/>
              </w:rPr>
              <w:t>参会证</w:t>
            </w:r>
          </w:p>
        </w:tc>
        <w:tc>
          <w:tcPr>
            <w:tcW w:w="4252" w:type="dxa"/>
            <w:tcBorders>
              <w:top w:val="single" w:color="auto" w:sz="4" w:space="0"/>
              <w:bottom w:val="single" w:color="auto" w:sz="4" w:space="0"/>
            </w:tcBorders>
            <w:shd w:val="clear" w:color="auto" w:fill="FFFFFF" w:themeFill="background1"/>
            <w:vAlign w:val="center"/>
          </w:tcPr>
          <w:p w14:paraId="26765F9F">
            <w:pPr>
              <w:pStyle w:val="3"/>
              <w:spacing w:line="360" w:lineRule="auto"/>
              <w:rPr>
                <w:rFonts w:ascii="华文宋体" w:hAnsi="华文宋体" w:eastAsia="华文宋体"/>
                <w:kern w:val="2"/>
              </w:rPr>
            </w:pPr>
            <w:r>
              <w:rPr>
                <w:rFonts w:hint="eastAsia" w:ascii="华文宋体" w:hAnsi="华文宋体" w:eastAsia="华文宋体" w:cs="仿宋"/>
                <w:kern w:val="2"/>
              </w:rPr>
              <w:t>8CM*12CM；PVC证件卡+铆钉铁钩挂绳</w:t>
            </w:r>
          </w:p>
        </w:tc>
        <w:tc>
          <w:tcPr>
            <w:tcW w:w="709" w:type="dxa"/>
            <w:tcBorders>
              <w:top w:val="single" w:color="auto" w:sz="4" w:space="0"/>
              <w:bottom w:val="single" w:color="auto" w:sz="4" w:space="0"/>
            </w:tcBorders>
            <w:shd w:val="clear" w:color="auto" w:fill="FFFFFF"/>
            <w:vAlign w:val="center"/>
          </w:tcPr>
          <w:p w14:paraId="263F11BB">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5C980AE6">
            <w:pPr>
              <w:pStyle w:val="3"/>
              <w:spacing w:line="360" w:lineRule="auto"/>
              <w:jc w:val="center"/>
              <w:rPr>
                <w:rFonts w:ascii="华文宋体" w:hAnsi="华文宋体" w:eastAsia="华文宋体"/>
                <w:kern w:val="2"/>
              </w:rPr>
            </w:pPr>
            <w:r>
              <w:rPr>
                <w:rFonts w:hint="eastAsia" w:ascii="华文宋体" w:hAnsi="华文宋体" w:eastAsia="华文宋体"/>
                <w:kern w:val="2"/>
              </w:rPr>
              <w:t>个</w:t>
            </w:r>
          </w:p>
        </w:tc>
        <w:tc>
          <w:tcPr>
            <w:tcW w:w="1134" w:type="dxa"/>
            <w:vAlign w:val="center"/>
          </w:tcPr>
          <w:p w14:paraId="4FE6FCD6">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5.00</w:t>
            </w:r>
          </w:p>
        </w:tc>
      </w:tr>
      <w:tr w14:paraId="3184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6BDE5665">
            <w:pPr>
              <w:pStyle w:val="3"/>
              <w:spacing w:line="360" w:lineRule="auto"/>
              <w:rPr>
                <w:rFonts w:ascii="华文宋体" w:hAnsi="华文宋体" w:eastAsia="华文宋体"/>
                <w:kern w:val="2"/>
              </w:rPr>
            </w:pPr>
            <w:r>
              <w:rPr>
                <w:rFonts w:hint="eastAsia" w:ascii="华文宋体" w:hAnsi="华文宋体" w:eastAsia="华文宋体"/>
                <w:kern w:val="2"/>
              </w:rPr>
              <w:t>6</w:t>
            </w:r>
          </w:p>
        </w:tc>
        <w:tc>
          <w:tcPr>
            <w:tcW w:w="1418" w:type="dxa"/>
            <w:tcBorders>
              <w:top w:val="single" w:color="auto" w:sz="4" w:space="0"/>
              <w:left w:val="nil"/>
              <w:bottom w:val="single" w:color="auto" w:sz="4" w:space="0"/>
              <w:right w:val="nil"/>
            </w:tcBorders>
            <w:shd w:val="clear" w:color="auto" w:fill="FFFFFF"/>
            <w:vAlign w:val="center"/>
          </w:tcPr>
          <w:p w14:paraId="4BA55E32">
            <w:pPr>
              <w:pStyle w:val="3"/>
              <w:spacing w:line="360" w:lineRule="auto"/>
              <w:jc w:val="center"/>
              <w:rPr>
                <w:rFonts w:ascii="华文宋体" w:hAnsi="华文宋体" w:eastAsia="华文宋体"/>
                <w:kern w:val="2"/>
              </w:rPr>
            </w:pPr>
            <w:r>
              <w:rPr>
                <w:rFonts w:hint="eastAsia" w:ascii="华文宋体" w:hAnsi="华文宋体" w:eastAsia="华文宋体"/>
                <w:kern w:val="2"/>
              </w:rPr>
              <w:t>席卡</w:t>
            </w:r>
          </w:p>
        </w:tc>
        <w:tc>
          <w:tcPr>
            <w:tcW w:w="4252" w:type="dxa"/>
            <w:tcBorders>
              <w:top w:val="single" w:color="auto" w:sz="4" w:space="0"/>
              <w:bottom w:val="single" w:color="auto" w:sz="4" w:space="0"/>
            </w:tcBorders>
            <w:shd w:val="clear" w:color="auto" w:fill="FFFFFF" w:themeFill="background1"/>
            <w:vAlign w:val="center"/>
          </w:tcPr>
          <w:p w14:paraId="221B8799">
            <w:pPr>
              <w:pStyle w:val="3"/>
              <w:spacing w:line="360" w:lineRule="auto"/>
              <w:rPr>
                <w:rFonts w:ascii="华文宋体" w:hAnsi="华文宋体" w:eastAsia="华文宋体"/>
                <w:kern w:val="2"/>
              </w:rPr>
            </w:pPr>
            <w:r>
              <w:rPr>
                <w:rFonts w:hint="eastAsia" w:ascii="华文宋体" w:hAnsi="华文宋体" w:eastAsia="华文宋体" w:cs="仿宋"/>
                <w:kern w:val="2"/>
              </w:rPr>
              <w:t>21*29.7CM，200克铜版纸折叠三角席卡</w:t>
            </w:r>
          </w:p>
        </w:tc>
        <w:tc>
          <w:tcPr>
            <w:tcW w:w="709" w:type="dxa"/>
            <w:tcBorders>
              <w:top w:val="single" w:color="auto" w:sz="4" w:space="0"/>
              <w:bottom w:val="single" w:color="auto" w:sz="4" w:space="0"/>
            </w:tcBorders>
            <w:shd w:val="clear" w:color="auto" w:fill="FFFFFF"/>
            <w:vAlign w:val="center"/>
          </w:tcPr>
          <w:p w14:paraId="152DAD7C">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14652AAB">
            <w:pPr>
              <w:pStyle w:val="3"/>
              <w:spacing w:line="360" w:lineRule="auto"/>
              <w:jc w:val="center"/>
              <w:rPr>
                <w:rFonts w:ascii="华文宋体" w:hAnsi="华文宋体" w:eastAsia="华文宋体"/>
                <w:kern w:val="2"/>
              </w:rPr>
            </w:pPr>
            <w:r>
              <w:rPr>
                <w:rFonts w:hint="eastAsia" w:ascii="华文宋体" w:hAnsi="华文宋体" w:eastAsia="华文宋体"/>
                <w:kern w:val="2"/>
              </w:rPr>
              <w:t>个</w:t>
            </w:r>
          </w:p>
        </w:tc>
        <w:tc>
          <w:tcPr>
            <w:tcW w:w="1134" w:type="dxa"/>
            <w:vAlign w:val="center"/>
          </w:tcPr>
          <w:p w14:paraId="08229394">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2.00</w:t>
            </w:r>
          </w:p>
        </w:tc>
      </w:tr>
      <w:tr w14:paraId="3168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3A27CBF5">
            <w:pPr>
              <w:pStyle w:val="3"/>
              <w:spacing w:line="360" w:lineRule="auto"/>
              <w:rPr>
                <w:rFonts w:ascii="华文宋体" w:hAnsi="华文宋体" w:eastAsia="华文宋体"/>
                <w:kern w:val="2"/>
              </w:rPr>
            </w:pPr>
            <w:r>
              <w:rPr>
                <w:rFonts w:hint="eastAsia" w:ascii="华文宋体" w:hAnsi="华文宋体" w:eastAsia="华文宋体"/>
                <w:kern w:val="2"/>
              </w:rPr>
              <w:t>7</w:t>
            </w:r>
          </w:p>
        </w:tc>
        <w:tc>
          <w:tcPr>
            <w:tcW w:w="1418" w:type="dxa"/>
            <w:tcBorders>
              <w:top w:val="single" w:color="auto" w:sz="4" w:space="0"/>
              <w:left w:val="nil"/>
              <w:bottom w:val="single" w:color="auto" w:sz="4" w:space="0"/>
              <w:right w:val="nil"/>
            </w:tcBorders>
            <w:shd w:val="clear" w:color="auto" w:fill="FFFFFF"/>
            <w:vAlign w:val="center"/>
          </w:tcPr>
          <w:p w14:paraId="23C83A1E">
            <w:pPr>
              <w:pStyle w:val="3"/>
              <w:spacing w:line="360" w:lineRule="auto"/>
              <w:jc w:val="center"/>
              <w:rPr>
                <w:rFonts w:ascii="华文宋体" w:hAnsi="华文宋体" w:eastAsia="华文宋体"/>
                <w:kern w:val="2"/>
              </w:rPr>
            </w:pPr>
            <w:r>
              <w:rPr>
                <w:rFonts w:hint="eastAsia" w:ascii="华文宋体" w:hAnsi="华文宋体" w:eastAsia="华文宋体"/>
                <w:kern w:val="2"/>
              </w:rPr>
              <w:t>邀请函</w:t>
            </w:r>
          </w:p>
        </w:tc>
        <w:tc>
          <w:tcPr>
            <w:tcW w:w="4252" w:type="dxa"/>
            <w:tcBorders>
              <w:top w:val="single" w:color="auto" w:sz="4" w:space="0"/>
              <w:bottom w:val="single" w:color="auto" w:sz="4" w:space="0"/>
            </w:tcBorders>
            <w:shd w:val="clear" w:color="auto" w:fill="FFFFFF" w:themeFill="background1"/>
            <w:vAlign w:val="center"/>
          </w:tcPr>
          <w:p w14:paraId="536A48A5">
            <w:pPr>
              <w:pStyle w:val="3"/>
              <w:spacing w:line="360" w:lineRule="auto"/>
              <w:rPr>
                <w:rFonts w:ascii="华文宋体" w:hAnsi="华文宋体" w:eastAsia="华文宋体"/>
                <w:kern w:val="2"/>
              </w:rPr>
            </w:pPr>
            <w:r>
              <w:rPr>
                <w:rFonts w:hint="eastAsia" w:ascii="华文宋体" w:hAnsi="华文宋体" w:eastAsia="华文宋体" w:cs="仿宋"/>
                <w:kern w:val="2"/>
              </w:rPr>
              <w:t>29.7*42CM，70克复印纸，彩色打印</w:t>
            </w:r>
          </w:p>
        </w:tc>
        <w:tc>
          <w:tcPr>
            <w:tcW w:w="709" w:type="dxa"/>
            <w:tcBorders>
              <w:top w:val="single" w:color="auto" w:sz="4" w:space="0"/>
              <w:bottom w:val="single" w:color="auto" w:sz="4" w:space="0"/>
            </w:tcBorders>
            <w:shd w:val="clear" w:color="auto" w:fill="FFFFFF"/>
            <w:vAlign w:val="center"/>
          </w:tcPr>
          <w:p w14:paraId="2F71C12D">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3A0CB004">
            <w:pPr>
              <w:pStyle w:val="3"/>
              <w:spacing w:line="360" w:lineRule="auto"/>
              <w:jc w:val="center"/>
              <w:rPr>
                <w:rFonts w:ascii="华文宋体" w:hAnsi="华文宋体" w:eastAsia="华文宋体"/>
                <w:kern w:val="2"/>
              </w:rPr>
            </w:pPr>
            <w:r>
              <w:rPr>
                <w:rFonts w:hint="eastAsia" w:ascii="华文宋体" w:hAnsi="华文宋体" w:eastAsia="华文宋体"/>
                <w:kern w:val="2"/>
              </w:rPr>
              <w:t>份</w:t>
            </w:r>
          </w:p>
        </w:tc>
        <w:tc>
          <w:tcPr>
            <w:tcW w:w="1134" w:type="dxa"/>
            <w:vAlign w:val="center"/>
          </w:tcPr>
          <w:p w14:paraId="13C96D09">
            <w:pPr>
              <w:pStyle w:val="3"/>
              <w:spacing w:line="360" w:lineRule="auto"/>
              <w:jc w:val="center"/>
              <w:rPr>
                <w:rFonts w:ascii="华文宋体" w:hAnsi="华文宋体" w:eastAsia="华文宋体"/>
                <w:kern w:val="2"/>
              </w:rPr>
            </w:pPr>
            <w:r>
              <w:rPr>
                <w:rFonts w:ascii="华文宋体" w:hAnsi="华文宋体" w:eastAsia="华文宋体"/>
                <w:kern w:val="2"/>
              </w:rPr>
              <w:t>3.00</w:t>
            </w:r>
          </w:p>
        </w:tc>
      </w:tr>
      <w:tr w14:paraId="44B9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18F8A78D">
            <w:pPr>
              <w:pStyle w:val="3"/>
              <w:spacing w:line="360" w:lineRule="auto"/>
              <w:rPr>
                <w:rFonts w:ascii="华文宋体" w:hAnsi="华文宋体" w:eastAsia="华文宋体"/>
                <w:kern w:val="2"/>
              </w:rPr>
            </w:pPr>
            <w:r>
              <w:rPr>
                <w:rFonts w:hint="eastAsia" w:ascii="华文宋体" w:hAnsi="华文宋体" w:eastAsia="华文宋体"/>
                <w:kern w:val="2"/>
              </w:rPr>
              <w:t>8</w:t>
            </w:r>
          </w:p>
        </w:tc>
        <w:tc>
          <w:tcPr>
            <w:tcW w:w="1418" w:type="dxa"/>
            <w:tcBorders>
              <w:top w:val="single" w:color="auto" w:sz="4" w:space="0"/>
              <w:left w:val="nil"/>
              <w:bottom w:val="single" w:color="auto" w:sz="4" w:space="0"/>
              <w:right w:val="nil"/>
            </w:tcBorders>
            <w:shd w:val="clear" w:color="auto" w:fill="FFFFFF"/>
            <w:vAlign w:val="center"/>
          </w:tcPr>
          <w:p w14:paraId="7C78A194">
            <w:pPr>
              <w:pStyle w:val="3"/>
              <w:spacing w:line="360" w:lineRule="auto"/>
              <w:jc w:val="center"/>
              <w:rPr>
                <w:rFonts w:ascii="华文宋体" w:hAnsi="华文宋体" w:eastAsia="华文宋体"/>
                <w:kern w:val="2"/>
              </w:rPr>
            </w:pPr>
            <w:r>
              <w:rPr>
                <w:rFonts w:hint="eastAsia" w:ascii="华文宋体" w:hAnsi="华文宋体" w:eastAsia="华文宋体"/>
                <w:kern w:val="2"/>
              </w:rPr>
              <w:t>荣誉证书</w:t>
            </w:r>
          </w:p>
          <w:p w14:paraId="16407E6D">
            <w:pPr>
              <w:pStyle w:val="3"/>
              <w:spacing w:line="360" w:lineRule="auto"/>
              <w:jc w:val="center"/>
              <w:rPr>
                <w:rFonts w:ascii="华文宋体" w:hAnsi="华文宋体" w:eastAsia="华文宋体"/>
                <w:kern w:val="2"/>
              </w:rPr>
            </w:pPr>
            <w:r>
              <w:rPr>
                <w:rFonts w:hint="eastAsia" w:ascii="华文宋体" w:hAnsi="华文宋体" w:eastAsia="华文宋体"/>
                <w:kern w:val="2"/>
              </w:rPr>
              <w:t>（带外壳）</w:t>
            </w:r>
          </w:p>
        </w:tc>
        <w:tc>
          <w:tcPr>
            <w:tcW w:w="4252" w:type="dxa"/>
            <w:tcBorders>
              <w:top w:val="single" w:color="auto" w:sz="4" w:space="0"/>
              <w:bottom w:val="single" w:color="auto" w:sz="4" w:space="0"/>
            </w:tcBorders>
            <w:shd w:val="clear" w:color="auto" w:fill="FFFFFF" w:themeFill="background1"/>
            <w:vAlign w:val="center"/>
          </w:tcPr>
          <w:p w14:paraId="433EE9E6">
            <w:pPr>
              <w:pStyle w:val="3"/>
              <w:spacing w:line="360" w:lineRule="auto"/>
              <w:rPr>
                <w:rFonts w:ascii="华文宋体" w:hAnsi="华文宋体" w:eastAsia="华文宋体"/>
                <w:kern w:val="2"/>
              </w:rPr>
            </w:pPr>
            <w:r>
              <w:rPr>
                <w:rFonts w:hint="eastAsia" w:ascii="华文宋体" w:hAnsi="华文宋体" w:eastAsia="华文宋体" w:cs="仿宋"/>
                <w:kern w:val="2"/>
              </w:rPr>
              <w:t>内页定制，配外壳，展开A4</w:t>
            </w:r>
          </w:p>
        </w:tc>
        <w:tc>
          <w:tcPr>
            <w:tcW w:w="709" w:type="dxa"/>
            <w:tcBorders>
              <w:top w:val="single" w:color="auto" w:sz="4" w:space="0"/>
              <w:bottom w:val="single" w:color="auto" w:sz="4" w:space="0"/>
            </w:tcBorders>
            <w:shd w:val="clear" w:color="auto" w:fill="FFFFFF"/>
            <w:vAlign w:val="center"/>
          </w:tcPr>
          <w:p w14:paraId="5F9FEF46">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15AB3EA7">
            <w:pPr>
              <w:pStyle w:val="3"/>
              <w:spacing w:line="360" w:lineRule="auto"/>
              <w:jc w:val="center"/>
              <w:rPr>
                <w:rFonts w:ascii="华文宋体" w:hAnsi="华文宋体" w:eastAsia="华文宋体"/>
                <w:kern w:val="2"/>
              </w:rPr>
            </w:pPr>
            <w:r>
              <w:rPr>
                <w:rFonts w:hint="eastAsia" w:ascii="华文宋体" w:hAnsi="华文宋体" w:eastAsia="华文宋体"/>
                <w:kern w:val="2"/>
              </w:rPr>
              <w:t>本</w:t>
            </w:r>
          </w:p>
        </w:tc>
        <w:tc>
          <w:tcPr>
            <w:tcW w:w="1134" w:type="dxa"/>
            <w:vAlign w:val="center"/>
          </w:tcPr>
          <w:p w14:paraId="658F478F">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8.00</w:t>
            </w:r>
          </w:p>
        </w:tc>
      </w:tr>
      <w:tr w14:paraId="5F0B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bottom w:val="single" w:color="auto" w:sz="4" w:space="0"/>
            </w:tcBorders>
            <w:shd w:val="clear" w:color="auto" w:fill="FFFFFF"/>
            <w:vAlign w:val="center"/>
          </w:tcPr>
          <w:p w14:paraId="0F7F2E1B">
            <w:pPr>
              <w:pStyle w:val="3"/>
              <w:spacing w:line="360" w:lineRule="auto"/>
              <w:rPr>
                <w:rFonts w:ascii="华文宋体" w:hAnsi="华文宋体" w:eastAsia="华文宋体"/>
                <w:kern w:val="2"/>
              </w:rPr>
            </w:pPr>
            <w:r>
              <w:rPr>
                <w:rFonts w:hint="eastAsia" w:ascii="华文宋体" w:hAnsi="华文宋体" w:eastAsia="华文宋体"/>
                <w:kern w:val="2"/>
              </w:rPr>
              <w:t>9</w:t>
            </w:r>
          </w:p>
        </w:tc>
        <w:tc>
          <w:tcPr>
            <w:tcW w:w="1418" w:type="dxa"/>
            <w:tcBorders>
              <w:top w:val="single" w:color="auto" w:sz="4" w:space="0"/>
              <w:left w:val="nil"/>
              <w:bottom w:val="single" w:color="auto" w:sz="4" w:space="0"/>
              <w:right w:val="nil"/>
            </w:tcBorders>
            <w:shd w:val="clear" w:color="auto" w:fill="FFFFFF"/>
            <w:vAlign w:val="center"/>
          </w:tcPr>
          <w:p w14:paraId="1D186866">
            <w:pPr>
              <w:pStyle w:val="3"/>
              <w:spacing w:line="360" w:lineRule="auto"/>
              <w:jc w:val="center"/>
              <w:rPr>
                <w:rFonts w:ascii="华文宋体" w:hAnsi="华文宋体" w:eastAsia="华文宋体"/>
                <w:kern w:val="2"/>
              </w:rPr>
            </w:pPr>
            <w:r>
              <w:rPr>
                <w:rFonts w:hint="eastAsia" w:ascii="华文宋体" w:hAnsi="华文宋体" w:eastAsia="华文宋体"/>
                <w:kern w:val="2"/>
              </w:rPr>
              <w:t>会议袋</w:t>
            </w:r>
          </w:p>
        </w:tc>
        <w:tc>
          <w:tcPr>
            <w:tcW w:w="4252" w:type="dxa"/>
            <w:tcBorders>
              <w:top w:val="single" w:color="auto" w:sz="4" w:space="0"/>
              <w:bottom w:val="single" w:color="auto" w:sz="4" w:space="0"/>
            </w:tcBorders>
            <w:shd w:val="clear" w:color="auto" w:fill="FFFFFF" w:themeFill="background1"/>
            <w:vAlign w:val="center"/>
          </w:tcPr>
          <w:p w14:paraId="4C69D96F">
            <w:pPr>
              <w:pStyle w:val="3"/>
              <w:spacing w:line="360" w:lineRule="auto"/>
              <w:rPr>
                <w:rFonts w:ascii="华文宋体" w:hAnsi="华文宋体" w:eastAsia="华文宋体"/>
                <w:kern w:val="2"/>
              </w:rPr>
            </w:pPr>
            <w:r>
              <w:rPr>
                <w:rFonts w:hint="eastAsia" w:ascii="华文宋体" w:hAnsi="华文宋体" w:eastAsia="华文宋体" w:cs="仿宋"/>
                <w:kern w:val="2"/>
              </w:rPr>
              <w:t>安涤棉帆布；高300X宽400X底80MM-双面一款式[有底无侧]-Uv直喷彩色一绳子[织带绳][织带绳][绳对折后25cm]-加磁吸暗扣[内置暗扣]</w:t>
            </w:r>
          </w:p>
        </w:tc>
        <w:tc>
          <w:tcPr>
            <w:tcW w:w="709" w:type="dxa"/>
            <w:tcBorders>
              <w:top w:val="single" w:color="auto" w:sz="4" w:space="0"/>
              <w:bottom w:val="single" w:color="auto" w:sz="4" w:space="0"/>
            </w:tcBorders>
            <w:shd w:val="clear" w:color="auto" w:fill="FFFFFF"/>
            <w:vAlign w:val="center"/>
          </w:tcPr>
          <w:p w14:paraId="13C76300">
            <w:pPr>
              <w:pStyle w:val="3"/>
              <w:spacing w:line="360" w:lineRule="auto"/>
              <w:jc w:val="center"/>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32DAB26">
            <w:pPr>
              <w:pStyle w:val="3"/>
              <w:spacing w:line="360" w:lineRule="auto"/>
              <w:jc w:val="center"/>
              <w:rPr>
                <w:rFonts w:ascii="华文宋体" w:hAnsi="华文宋体" w:eastAsia="华文宋体"/>
                <w:kern w:val="2"/>
              </w:rPr>
            </w:pPr>
            <w:r>
              <w:rPr>
                <w:rFonts w:hint="eastAsia" w:ascii="华文宋体" w:hAnsi="华文宋体" w:eastAsia="华文宋体"/>
                <w:kern w:val="2"/>
              </w:rPr>
              <w:t>个</w:t>
            </w:r>
          </w:p>
        </w:tc>
        <w:tc>
          <w:tcPr>
            <w:tcW w:w="1134" w:type="dxa"/>
            <w:vAlign w:val="center"/>
          </w:tcPr>
          <w:p w14:paraId="6A0BBAD3">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8.00</w:t>
            </w:r>
          </w:p>
        </w:tc>
      </w:tr>
      <w:tr w14:paraId="541B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tcBorders>
            <w:vAlign w:val="center"/>
          </w:tcPr>
          <w:p w14:paraId="4B7DB1CF">
            <w:pPr>
              <w:pStyle w:val="3"/>
              <w:spacing w:line="360" w:lineRule="auto"/>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0</w:t>
            </w:r>
          </w:p>
        </w:tc>
        <w:tc>
          <w:tcPr>
            <w:tcW w:w="1418" w:type="dxa"/>
            <w:tcBorders>
              <w:top w:val="single" w:color="auto" w:sz="4" w:space="0"/>
            </w:tcBorders>
            <w:vAlign w:val="center"/>
          </w:tcPr>
          <w:p w14:paraId="301B249F">
            <w:pPr>
              <w:pStyle w:val="3"/>
              <w:spacing w:line="360" w:lineRule="auto"/>
              <w:jc w:val="center"/>
              <w:rPr>
                <w:rFonts w:ascii="华文宋体" w:hAnsi="华文宋体" w:eastAsia="华文宋体"/>
                <w:kern w:val="2"/>
              </w:rPr>
            </w:pPr>
            <w:r>
              <w:rPr>
                <w:rFonts w:hint="eastAsia" w:ascii="华文宋体" w:hAnsi="华文宋体" w:eastAsia="华文宋体"/>
                <w:kern w:val="2"/>
              </w:rPr>
              <w:t>水笔</w:t>
            </w:r>
          </w:p>
        </w:tc>
        <w:tc>
          <w:tcPr>
            <w:tcW w:w="4252" w:type="dxa"/>
            <w:tcBorders>
              <w:top w:val="single" w:color="auto" w:sz="4" w:space="0"/>
            </w:tcBorders>
            <w:vAlign w:val="center"/>
          </w:tcPr>
          <w:p w14:paraId="1C58BA1C">
            <w:pPr>
              <w:pStyle w:val="3"/>
              <w:spacing w:line="360" w:lineRule="auto"/>
              <w:rPr>
                <w:rFonts w:ascii="华文宋体" w:hAnsi="华文宋体" w:eastAsia="华文宋体"/>
                <w:kern w:val="2"/>
              </w:rPr>
            </w:pPr>
            <w:r>
              <w:rPr>
                <w:rFonts w:hint="eastAsia" w:ascii="华文宋体" w:hAnsi="华文宋体" w:eastAsia="华文宋体" w:cs="仿宋"/>
                <w:kern w:val="2"/>
              </w:rPr>
              <w:t>提供满足会议需求相应数量的材料；黑色水笔</w:t>
            </w:r>
          </w:p>
        </w:tc>
        <w:tc>
          <w:tcPr>
            <w:tcW w:w="709" w:type="dxa"/>
            <w:tcBorders>
              <w:top w:val="single" w:color="auto" w:sz="4" w:space="0"/>
            </w:tcBorders>
            <w:vAlign w:val="center"/>
          </w:tcPr>
          <w:p w14:paraId="12E88F8E">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7ED7E3B8">
            <w:pPr>
              <w:pStyle w:val="3"/>
              <w:spacing w:line="360" w:lineRule="auto"/>
              <w:rPr>
                <w:rFonts w:ascii="华文宋体" w:hAnsi="华文宋体" w:eastAsia="华文宋体"/>
                <w:kern w:val="2"/>
              </w:rPr>
            </w:pPr>
            <w:r>
              <w:rPr>
                <w:rFonts w:hint="eastAsia" w:ascii="华文宋体" w:hAnsi="华文宋体" w:eastAsia="华文宋体"/>
                <w:kern w:val="2"/>
              </w:rPr>
              <w:t>只</w:t>
            </w:r>
          </w:p>
        </w:tc>
        <w:tc>
          <w:tcPr>
            <w:tcW w:w="1134" w:type="dxa"/>
            <w:vAlign w:val="center"/>
          </w:tcPr>
          <w:p w14:paraId="3B47FF55">
            <w:pPr>
              <w:pStyle w:val="3"/>
              <w:spacing w:line="360" w:lineRule="auto"/>
              <w:jc w:val="center"/>
              <w:rPr>
                <w:rFonts w:ascii="华文宋体" w:hAnsi="华文宋体" w:eastAsia="华文宋体"/>
                <w:kern w:val="2"/>
              </w:rPr>
            </w:pPr>
            <w:r>
              <w:rPr>
                <w:rFonts w:hint="eastAsia" w:ascii="华文宋体" w:hAnsi="华文宋体" w:eastAsia="华文宋体"/>
                <w:kern w:val="2"/>
              </w:rPr>
              <w:t>2</w:t>
            </w:r>
            <w:r>
              <w:rPr>
                <w:rFonts w:ascii="华文宋体" w:hAnsi="华文宋体" w:eastAsia="华文宋体"/>
                <w:kern w:val="2"/>
              </w:rPr>
              <w:t>.00</w:t>
            </w:r>
          </w:p>
        </w:tc>
      </w:tr>
      <w:tr w14:paraId="551A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26E25EF">
            <w:pPr>
              <w:pStyle w:val="3"/>
              <w:spacing w:line="360" w:lineRule="auto"/>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1</w:t>
            </w:r>
          </w:p>
        </w:tc>
        <w:tc>
          <w:tcPr>
            <w:tcW w:w="1418" w:type="dxa"/>
            <w:vAlign w:val="center"/>
          </w:tcPr>
          <w:p w14:paraId="46B200D7">
            <w:pPr>
              <w:pStyle w:val="3"/>
              <w:spacing w:line="360" w:lineRule="auto"/>
              <w:jc w:val="center"/>
              <w:rPr>
                <w:rFonts w:ascii="华文宋体" w:hAnsi="华文宋体" w:eastAsia="华文宋体"/>
                <w:kern w:val="2"/>
              </w:rPr>
            </w:pPr>
            <w:r>
              <w:rPr>
                <w:rFonts w:hint="eastAsia" w:ascii="华文宋体" w:hAnsi="华文宋体" w:eastAsia="华文宋体"/>
                <w:kern w:val="2"/>
              </w:rPr>
              <w:t>会议材料及P</w:t>
            </w:r>
            <w:r>
              <w:rPr>
                <w:rFonts w:ascii="华文宋体" w:hAnsi="华文宋体" w:eastAsia="华文宋体"/>
                <w:kern w:val="2"/>
              </w:rPr>
              <w:t>PT</w:t>
            </w:r>
            <w:r>
              <w:rPr>
                <w:rFonts w:hint="eastAsia" w:ascii="华文宋体" w:hAnsi="华文宋体" w:eastAsia="华文宋体"/>
                <w:kern w:val="2"/>
              </w:rPr>
              <w:t>背景设计排版</w:t>
            </w:r>
          </w:p>
        </w:tc>
        <w:tc>
          <w:tcPr>
            <w:tcW w:w="4252" w:type="dxa"/>
            <w:vAlign w:val="center"/>
          </w:tcPr>
          <w:p w14:paraId="35D708BB">
            <w:pPr>
              <w:pStyle w:val="3"/>
              <w:spacing w:line="360" w:lineRule="auto"/>
              <w:rPr>
                <w:rFonts w:ascii="华文宋体" w:hAnsi="华文宋体" w:eastAsia="华文宋体"/>
                <w:kern w:val="2"/>
              </w:rPr>
            </w:pPr>
            <w:r>
              <w:rPr>
                <w:rFonts w:hint="eastAsia" w:ascii="华文宋体" w:hAnsi="华文宋体" w:eastAsia="华文宋体" w:cs="仿宋"/>
                <w:kern w:val="2"/>
              </w:rPr>
              <w:t>大会背景、整体风格设计、会务材料设计、制图、排版</w:t>
            </w:r>
          </w:p>
        </w:tc>
        <w:tc>
          <w:tcPr>
            <w:tcW w:w="709" w:type="dxa"/>
            <w:vAlign w:val="center"/>
          </w:tcPr>
          <w:p w14:paraId="1576B27F">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05AA6D55">
            <w:pPr>
              <w:pStyle w:val="3"/>
              <w:spacing w:line="360" w:lineRule="auto"/>
              <w:rPr>
                <w:rFonts w:ascii="华文宋体" w:hAnsi="华文宋体" w:eastAsia="华文宋体"/>
                <w:kern w:val="2"/>
              </w:rPr>
            </w:pPr>
            <w:r>
              <w:rPr>
                <w:rFonts w:hint="eastAsia" w:ascii="华文宋体" w:hAnsi="华文宋体" w:eastAsia="华文宋体"/>
                <w:kern w:val="2"/>
              </w:rPr>
              <w:t>项</w:t>
            </w:r>
          </w:p>
        </w:tc>
        <w:tc>
          <w:tcPr>
            <w:tcW w:w="1134" w:type="dxa"/>
            <w:vAlign w:val="center"/>
          </w:tcPr>
          <w:p w14:paraId="76311C62">
            <w:pPr>
              <w:pStyle w:val="3"/>
              <w:spacing w:line="360" w:lineRule="auto"/>
              <w:jc w:val="center"/>
              <w:rPr>
                <w:rFonts w:ascii="华文宋体" w:hAnsi="华文宋体" w:eastAsia="华文宋体"/>
                <w:kern w:val="2"/>
              </w:rPr>
            </w:pPr>
            <w:r>
              <w:rPr>
                <w:rFonts w:hint="eastAsia" w:ascii="华文宋体" w:hAnsi="华文宋体" w:eastAsia="华文宋体"/>
                <w:kern w:val="2"/>
              </w:rPr>
              <w:t>5</w:t>
            </w:r>
            <w:r>
              <w:rPr>
                <w:rFonts w:ascii="华文宋体" w:hAnsi="华文宋体" w:eastAsia="华文宋体"/>
                <w:kern w:val="2"/>
              </w:rPr>
              <w:t>000.00</w:t>
            </w:r>
          </w:p>
        </w:tc>
      </w:tr>
      <w:tr w14:paraId="1087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vAlign w:val="center"/>
          </w:tcPr>
          <w:p w14:paraId="17F0EB7E">
            <w:pPr>
              <w:pStyle w:val="3"/>
              <w:spacing w:line="360" w:lineRule="auto"/>
              <w:jc w:val="center"/>
              <w:rPr>
                <w:rFonts w:ascii="华文宋体" w:hAnsi="华文宋体" w:eastAsia="华文宋体"/>
                <w:kern w:val="2"/>
              </w:rPr>
            </w:pPr>
            <w:r>
              <w:rPr>
                <w:rFonts w:hint="eastAsia" w:ascii="华文宋体" w:hAnsi="华文宋体" w:eastAsia="华文宋体"/>
                <w:b/>
                <w:kern w:val="2"/>
              </w:rPr>
              <w:t>（二）会场需求</w:t>
            </w:r>
          </w:p>
        </w:tc>
      </w:tr>
      <w:tr w14:paraId="3657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65795C6">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vAlign w:val="center"/>
          </w:tcPr>
          <w:p w14:paraId="09199D8E">
            <w:pPr>
              <w:pStyle w:val="3"/>
              <w:spacing w:line="360" w:lineRule="auto"/>
              <w:jc w:val="center"/>
              <w:rPr>
                <w:rFonts w:ascii="华文宋体" w:hAnsi="华文宋体" w:eastAsia="华文宋体"/>
                <w:kern w:val="2"/>
              </w:rPr>
            </w:pPr>
            <w:r>
              <w:rPr>
                <w:rFonts w:hint="eastAsia" w:ascii="华文宋体" w:hAnsi="华文宋体" w:eastAsia="华文宋体"/>
                <w:kern w:val="2"/>
              </w:rPr>
              <w:t>主会议室租赁（含大屏）</w:t>
            </w:r>
          </w:p>
        </w:tc>
        <w:tc>
          <w:tcPr>
            <w:tcW w:w="4252" w:type="dxa"/>
            <w:vAlign w:val="center"/>
          </w:tcPr>
          <w:p w14:paraId="408FEA5C">
            <w:pPr>
              <w:pStyle w:val="3"/>
              <w:spacing w:line="360" w:lineRule="auto"/>
              <w:rPr>
                <w:rFonts w:ascii="华文宋体" w:hAnsi="华文宋体" w:eastAsia="华文宋体" w:cs="仿宋"/>
                <w:kern w:val="2"/>
              </w:rPr>
            </w:pPr>
            <w:r>
              <w:rPr>
                <w:rFonts w:hint="eastAsia" w:ascii="华文宋体" w:hAnsi="华文宋体" w:eastAsia="华文宋体" w:cs="仿宋"/>
                <w:kern w:val="2"/>
              </w:rPr>
              <w:t>1）会场要求：会议室需满足3</w:t>
            </w:r>
            <w:r>
              <w:rPr>
                <w:rFonts w:ascii="华文宋体" w:hAnsi="华文宋体" w:eastAsia="华文宋体" w:cs="仿宋"/>
                <w:kern w:val="2"/>
              </w:rPr>
              <w:t>50</w:t>
            </w:r>
            <w:r>
              <w:rPr>
                <w:rFonts w:hint="eastAsia" w:ascii="华文宋体" w:hAnsi="华文宋体" w:eastAsia="华文宋体" w:cs="仿宋"/>
                <w:kern w:val="2"/>
              </w:rPr>
              <w:t>人左右会议要求。会场空间大小适配参会人数，通风采光良好，隔音效果满足学术会议使用。</w:t>
            </w:r>
          </w:p>
          <w:p w14:paraId="6C1EB405">
            <w:pPr>
              <w:pStyle w:val="3"/>
              <w:spacing w:line="360" w:lineRule="auto"/>
              <w:rPr>
                <w:rFonts w:ascii="华文宋体" w:hAnsi="华文宋体" w:eastAsia="华文宋体" w:cs="仿宋"/>
                <w:kern w:val="2"/>
              </w:rPr>
            </w:pPr>
            <w:r>
              <w:rPr>
                <w:rFonts w:hint="eastAsia" w:ascii="华文宋体" w:hAnsi="华文宋体" w:eastAsia="华文宋体" w:cs="仿宋"/>
                <w:kern w:val="2"/>
              </w:rPr>
              <w:t>2）基础配套硬件：高清投影/LED大屏、专业音响系统、无线话筒、有线话筒、台式发言麦、笔记本电脑、激光翻页笔；配备备用话筒、备用线材，会前完成全部设备调试。</w:t>
            </w:r>
          </w:p>
          <w:p w14:paraId="70ED1388">
            <w:pPr>
              <w:pStyle w:val="3"/>
              <w:spacing w:line="360" w:lineRule="auto"/>
              <w:rPr>
                <w:rFonts w:ascii="华文宋体" w:hAnsi="华文宋体" w:eastAsia="华文宋体" w:cs="仿宋"/>
                <w:kern w:val="2"/>
              </w:rPr>
            </w:pPr>
            <w:r>
              <w:rPr>
                <w:rFonts w:hint="eastAsia" w:ascii="华文宋体" w:hAnsi="华文宋体" w:eastAsia="华文宋体" w:cs="仿宋"/>
                <w:kern w:val="2"/>
              </w:rPr>
              <w:t>3）会场布置：背景板/喷绘、会标、席位牌、指引牌、签到台、座椅、桌布、桌牌、纸笔、饮用水，摆放位置符合学术会议要求。</w:t>
            </w:r>
          </w:p>
          <w:p w14:paraId="36BE1525">
            <w:pPr>
              <w:pStyle w:val="3"/>
              <w:spacing w:line="360" w:lineRule="auto"/>
              <w:rPr>
                <w:rFonts w:ascii="华文宋体" w:hAnsi="华文宋体" w:eastAsia="华文宋体"/>
                <w:kern w:val="2"/>
              </w:rPr>
            </w:pPr>
            <w:r>
              <w:rPr>
                <w:rFonts w:hint="eastAsia" w:ascii="华文宋体" w:hAnsi="华文宋体" w:eastAsia="华文宋体" w:cs="仿宋"/>
                <w:kern w:val="2"/>
              </w:rPr>
              <w:t>4）会场管理：会前布置搭建、会中设备值守、会后撤场清理；安排专职技术人员全程驻场，及时处置设备故障。</w:t>
            </w:r>
          </w:p>
        </w:tc>
        <w:tc>
          <w:tcPr>
            <w:tcW w:w="709" w:type="dxa"/>
            <w:vAlign w:val="center"/>
          </w:tcPr>
          <w:p w14:paraId="353E0E00">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28ABDC82">
            <w:pPr>
              <w:pStyle w:val="3"/>
              <w:spacing w:line="360" w:lineRule="auto"/>
              <w:rPr>
                <w:rFonts w:ascii="华文宋体" w:hAnsi="华文宋体" w:eastAsia="华文宋体"/>
                <w:kern w:val="2"/>
              </w:rPr>
            </w:pPr>
            <w:r>
              <w:rPr>
                <w:rFonts w:hint="eastAsia" w:ascii="华文宋体" w:hAnsi="华文宋体" w:eastAsia="华文宋体"/>
                <w:kern w:val="2"/>
              </w:rPr>
              <w:t>半天</w:t>
            </w:r>
          </w:p>
        </w:tc>
        <w:tc>
          <w:tcPr>
            <w:tcW w:w="1134" w:type="dxa"/>
            <w:vAlign w:val="center"/>
          </w:tcPr>
          <w:p w14:paraId="64373E24">
            <w:pPr>
              <w:pStyle w:val="3"/>
              <w:spacing w:line="360" w:lineRule="auto"/>
              <w:jc w:val="center"/>
              <w:rPr>
                <w:rFonts w:ascii="华文宋体" w:hAnsi="华文宋体" w:eastAsia="华文宋体"/>
                <w:kern w:val="2"/>
              </w:rPr>
            </w:pPr>
            <w:r>
              <w:rPr>
                <w:rFonts w:hint="eastAsia" w:ascii="华文宋体" w:hAnsi="华文宋体" w:eastAsia="华文宋体"/>
                <w:kern w:val="2"/>
              </w:rPr>
              <w:t>8</w:t>
            </w:r>
            <w:r>
              <w:rPr>
                <w:rFonts w:ascii="华文宋体" w:hAnsi="华文宋体" w:eastAsia="华文宋体"/>
                <w:kern w:val="2"/>
              </w:rPr>
              <w:t>000.00</w:t>
            </w:r>
          </w:p>
        </w:tc>
      </w:tr>
      <w:tr w14:paraId="79B9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4350E7C">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vAlign w:val="center"/>
          </w:tcPr>
          <w:p w14:paraId="0475AF18">
            <w:pPr>
              <w:pStyle w:val="3"/>
              <w:spacing w:line="360" w:lineRule="auto"/>
              <w:jc w:val="center"/>
              <w:rPr>
                <w:rFonts w:ascii="华文宋体" w:hAnsi="华文宋体" w:eastAsia="华文宋体"/>
                <w:kern w:val="2"/>
              </w:rPr>
            </w:pPr>
            <w:r>
              <w:rPr>
                <w:rFonts w:hint="eastAsia" w:ascii="华文宋体" w:hAnsi="华文宋体" w:eastAsia="华文宋体"/>
                <w:kern w:val="2"/>
              </w:rPr>
              <w:t>分论坛会议室租赁</w:t>
            </w:r>
          </w:p>
          <w:p w14:paraId="62799106">
            <w:pPr>
              <w:pStyle w:val="3"/>
              <w:spacing w:line="360" w:lineRule="auto"/>
              <w:jc w:val="center"/>
              <w:rPr>
                <w:rFonts w:ascii="华文宋体" w:hAnsi="华文宋体" w:eastAsia="华文宋体"/>
                <w:kern w:val="2"/>
              </w:rPr>
            </w:pPr>
            <w:r>
              <w:rPr>
                <w:rFonts w:hint="eastAsia" w:ascii="华文宋体" w:hAnsi="华文宋体" w:eastAsia="华文宋体"/>
                <w:kern w:val="2"/>
              </w:rPr>
              <w:t>（含大屏）</w:t>
            </w:r>
          </w:p>
        </w:tc>
        <w:tc>
          <w:tcPr>
            <w:tcW w:w="4252" w:type="dxa"/>
            <w:shd w:val="clear" w:color="auto" w:fill="auto"/>
            <w:vAlign w:val="center"/>
          </w:tcPr>
          <w:p w14:paraId="53C634DA">
            <w:pPr>
              <w:pStyle w:val="3"/>
              <w:spacing w:line="360" w:lineRule="auto"/>
              <w:rPr>
                <w:rFonts w:ascii="华文宋体" w:hAnsi="华文宋体" w:eastAsia="华文宋体" w:cs="仿宋"/>
                <w:kern w:val="2"/>
              </w:rPr>
            </w:pPr>
            <w:r>
              <w:rPr>
                <w:rFonts w:hint="eastAsia" w:ascii="华文宋体" w:hAnsi="华文宋体" w:eastAsia="华文宋体" w:cs="仿宋"/>
                <w:kern w:val="2"/>
              </w:rPr>
              <w:t>1）会场要求：会议室数量满足6</w:t>
            </w:r>
            <w:r>
              <w:rPr>
                <w:rFonts w:ascii="华文宋体" w:hAnsi="华文宋体" w:eastAsia="华文宋体" w:cs="仿宋"/>
                <w:kern w:val="2"/>
              </w:rPr>
              <w:t>0</w:t>
            </w:r>
            <w:r>
              <w:rPr>
                <w:rFonts w:hint="eastAsia" w:ascii="华文宋体" w:hAnsi="华文宋体" w:eastAsia="华文宋体" w:cs="仿宋"/>
                <w:kern w:val="2"/>
              </w:rPr>
              <w:t>人左右会议要求。会场空间大小适配参会人数，通风采光良好，隔音效果满足学术会议使用。</w:t>
            </w:r>
          </w:p>
          <w:p w14:paraId="75E65EB1">
            <w:pPr>
              <w:pStyle w:val="3"/>
              <w:spacing w:line="360" w:lineRule="auto"/>
              <w:rPr>
                <w:rFonts w:ascii="华文宋体" w:hAnsi="华文宋体" w:eastAsia="华文宋体" w:cs="仿宋"/>
                <w:kern w:val="2"/>
              </w:rPr>
            </w:pPr>
            <w:r>
              <w:rPr>
                <w:rFonts w:ascii="华文宋体" w:hAnsi="华文宋体" w:eastAsia="华文宋体" w:cs="仿宋"/>
                <w:kern w:val="2"/>
              </w:rPr>
              <w:t>2</w:t>
            </w:r>
            <w:r>
              <w:rPr>
                <w:rFonts w:hint="eastAsia" w:ascii="华文宋体" w:hAnsi="华文宋体" w:eastAsia="华文宋体" w:cs="仿宋"/>
                <w:kern w:val="2"/>
              </w:rPr>
              <w:t>）基础配套硬件：高清投影/LED大屏、专业音响系统、无线话筒、有线话筒、台式发言麦、笔记本电脑、激光翻页笔；配备备用话筒、备用线材，会前完成全部设备调试。</w:t>
            </w:r>
          </w:p>
          <w:p w14:paraId="21CBA1CA">
            <w:pPr>
              <w:pStyle w:val="3"/>
              <w:spacing w:line="360" w:lineRule="auto"/>
              <w:rPr>
                <w:rFonts w:ascii="华文宋体" w:hAnsi="华文宋体" w:eastAsia="华文宋体" w:cs="仿宋"/>
                <w:kern w:val="2"/>
              </w:rPr>
            </w:pPr>
            <w:r>
              <w:rPr>
                <w:rFonts w:hint="eastAsia" w:ascii="华文宋体" w:hAnsi="华文宋体" w:eastAsia="华文宋体" w:cs="仿宋"/>
                <w:kern w:val="2"/>
              </w:rPr>
              <w:t>3）会场布置：背景板/喷绘、会标、席位牌、指引牌、签到台、座椅、桌布、桌牌、纸笔、饮用水，摆放位置符合学术会议要求。</w:t>
            </w:r>
          </w:p>
          <w:p w14:paraId="6CBD752F">
            <w:pPr>
              <w:pStyle w:val="3"/>
              <w:spacing w:line="360" w:lineRule="auto"/>
              <w:rPr>
                <w:rFonts w:ascii="华文宋体" w:hAnsi="华文宋体" w:eastAsia="华文宋体"/>
                <w:kern w:val="2"/>
              </w:rPr>
            </w:pPr>
            <w:r>
              <w:rPr>
                <w:rFonts w:hint="eastAsia" w:ascii="华文宋体" w:hAnsi="华文宋体" w:eastAsia="华文宋体" w:cs="仿宋"/>
                <w:kern w:val="2"/>
              </w:rPr>
              <w:t>4）会场管理：会前布置搭建、会中设备值守、会后撤场清理；安排专职技术人员全程驻场，及时处置设备故障。</w:t>
            </w:r>
          </w:p>
        </w:tc>
        <w:tc>
          <w:tcPr>
            <w:tcW w:w="709" w:type="dxa"/>
            <w:vAlign w:val="center"/>
          </w:tcPr>
          <w:p w14:paraId="3B457C64">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73C1ECF4">
            <w:pPr>
              <w:pStyle w:val="3"/>
              <w:spacing w:line="360" w:lineRule="auto"/>
              <w:rPr>
                <w:rFonts w:ascii="华文宋体" w:hAnsi="华文宋体" w:eastAsia="华文宋体"/>
                <w:kern w:val="2"/>
              </w:rPr>
            </w:pPr>
            <w:r>
              <w:rPr>
                <w:rFonts w:hint="eastAsia" w:ascii="华文宋体" w:hAnsi="华文宋体" w:eastAsia="华文宋体"/>
                <w:kern w:val="2"/>
              </w:rPr>
              <w:t>半天</w:t>
            </w:r>
          </w:p>
        </w:tc>
        <w:tc>
          <w:tcPr>
            <w:tcW w:w="1134" w:type="dxa"/>
            <w:vAlign w:val="center"/>
          </w:tcPr>
          <w:p w14:paraId="71AC4AAB">
            <w:pPr>
              <w:pStyle w:val="3"/>
              <w:spacing w:line="360" w:lineRule="auto"/>
              <w:jc w:val="center"/>
              <w:rPr>
                <w:rFonts w:ascii="华文宋体" w:hAnsi="华文宋体" w:eastAsia="华文宋体"/>
                <w:kern w:val="2"/>
              </w:rPr>
            </w:pPr>
            <w:r>
              <w:rPr>
                <w:rFonts w:hint="eastAsia" w:ascii="华文宋体" w:hAnsi="华文宋体" w:eastAsia="华文宋体"/>
                <w:kern w:val="2"/>
              </w:rPr>
              <w:t>3</w:t>
            </w:r>
            <w:r>
              <w:rPr>
                <w:rFonts w:ascii="华文宋体" w:hAnsi="华文宋体" w:eastAsia="华文宋体"/>
                <w:kern w:val="2"/>
              </w:rPr>
              <w:t>000.00</w:t>
            </w:r>
          </w:p>
        </w:tc>
      </w:tr>
      <w:tr w14:paraId="4269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A0C1B74">
            <w:pPr>
              <w:pStyle w:val="3"/>
              <w:spacing w:line="360" w:lineRule="auto"/>
              <w:rPr>
                <w:rFonts w:ascii="华文宋体" w:hAnsi="华文宋体" w:eastAsia="华文宋体"/>
                <w:kern w:val="2"/>
              </w:rPr>
            </w:pPr>
            <w:r>
              <w:rPr>
                <w:rFonts w:hint="eastAsia" w:ascii="华文宋体" w:hAnsi="华文宋体" w:eastAsia="华文宋体"/>
                <w:kern w:val="2"/>
              </w:rPr>
              <w:t>3</w:t>
            </w:r>
          </w:p>
        </w:tc>
        <w:tc>
          <w:tcPr>
            <w:tcW w:w="1418" w:type="dxa"/>
            <w:vAlign w:val="center"/>
          </w:tcPr>
          <w:p w14:paraId="1D8619AB">
            <w:pPr>
              <w:pStyle w:val="3"/>
              <w:spacing w:line="360" w:lineRule="auto"/>
              <w:jc w:val="center"/>
              <w:rPr>
                <w:rFonts w:ascii="华文宋体" w:hAnsi="华文宋体" w:eastAsia="华文宋体"/>
                <w:kern w:val="2"/>
              </w:rPr>
            </w:pPr>
            <w:r>
              <w:rPr>
                <w:rFonts w:hint="eastAsia" w:ascii="华文宋体" w:hAnsi="华文宋体" w:eastAsia="华文宋体" w:cs="仿宋"/>
                <w:kern w:val="2"/>
              </w:rPr>
              <w:t>会场电脑租赁</w:t>
            </w:r>
          </w:p>
        </w:tc>
        <w:tc>
          <w:tcPr>
            <w:tcW w:w="4252" w:type="dxa"/>
            <w:vAlign w:val="center"/>
          </w:tcPr>
          <w:p w14:paraId="5194FDC7">
            <w:pPr>
              <w:pStyle w:val="3"/>
              <w:spacing w:line="360" w:lineRule="auto"/>
              <w:rPr>
                <w:rFonts w:ascii="华文宋体" w:hAnsi="华文宋体" w:eastAsia="华文宋体" w:cs="仿宋"/>
                <w:kern w:val="2"/>
              </w:rPr>
            </w:pPr>
            <w:r>
              <w:rPr>
                <w:rFonts w:hint="eastAsia" w:ascii="华文宋体" w:hAnsi="华文宋体" w:eastAsia="华文宋体" w:cs="仿宋"/>
                <w:kern w:val="2"/>
              </w:rPr>
              <w:t>1）硬件配置（最低标准）</w:t>
            </w:r>
          </w:p>
          <w:p w14:paraId="5BD898CD">
            <w:pPr>
              <w:pStyle w:val="3"/>
              <w:spacing w:line="360" w:lineRule="auto"/>
              <w:rPr>
                <w:rFonts w:ascii="华文宋体" w:hAnsi="华文宋体" w:eastAsia="华文宋体" w:cs="仿宋"/>
                <w:kern w:val="2"/>
              </w:rPr>
            </w:pPr>
            <w:r>
              <w:rPr>
                <w:rFonts w:hint="eastAsia" w:ascii="华文宋体" w:hAnsi="华文宋体" w:eastAsia="华文宋体" w:cs="仿宋"/>
                <w:kern w:val="2"/>
              </w:rPr>
              <w:t>CPU：Intel i5</w:t>
            </w:r>
            <w:r>
              <w:rPr>
                <w:rFonts w:hint="eastAsia" w:ascii="华文宋体" w:hAnsi="华文宋体" w:eastAsia="华文宋体" w:cs="仿宋"/>
                <w:kern w:val="2"/>
              </w:rPr>
              <w:noBreakHyphen/>
            </w:r>
            <w:r>
              <w:rPr>
                <w:rFonts w:hint="eastAsia" w:ascii="华文宋体" w:hAnsi="华文宋体" w:eastAsia="华文宋体" w:cs="仿宋"/>
                <w:kern w:val="2"/>
              </w:rPr>
              <w:t>11代及以上/AMD R5</w:t>
            </w:r>
            <w:r>
              <w:rPr>
                <w:rFonts w:hint="eastAsia" w:ascii="华文宋体" w:hAnsi="华文宋体" w:eastAsia="华文宋体" w:cs="仿宋"/>
                <w:kern w:val="2"/>
              </w:rPr>
              <w:noBreakHyphen/>
            </w:r>
            <w:r>
              <w:rPr>
                <w:rFonts w:hint="eastAsia" w:ascii="华文宋体" w:hAnsi="华文宋体" w:eastAsia="华文宋体" w:cs="仿宋"/>
                <w:kern w:val="2"/>
              </w:rPr>
              <w:t>5000系列及以上处理器；</w:t>
            </w:r>
          </w:p>
          <w:p w14:paraId="1F6AE4B0">
            <w:pPr>
              <w:pStyle w:val="3"/>
              <w:spacing w:line="360" w:lineRule="auto"/>
              <w:rPr>
                <w:rFonts w:ascii="华文宋体" w:hAnsi="华文宋体" w:eastAsia="华文宋体" w:cs="仿宋"/>
                <w:kern w:val="2"/>
              </w:rPr>
            </w:pPr>
            <w:r>
              <w:rPr>
                <w:rFonts w:hint="eastAsia" w:ascii="华文宋体" w:hAnsi="华文宋体" w:eastAsia="华文宋体" w:cs="仿宋"/>
                <w:kern w:val="2"/>
              </w:rPr>
              <w:t>内存：≥16GB，保障多开PPT、PDF、音视频文件流畅运行；</w:t>
            </w:r>
          </w:p>
          <w:p w14:paraId="62D40336">
            <w:pPr>
              <w:pStyle w:val="3"/>
              <w:spacing w:line="360" w:lineRule="auto"/>
              <w:rPr>
                <w:rFonts w:ascii="华文宋体" w:hAnsi="华文宋体" w:eastAsia="华文宋体" w:cs="仿宋"/>
                <w:kern w:val="2"/>
              </w:rPr>
            </w:pPr>
            <w:r>
              <w:rPr>
                <w:rFonts w:hint="eastAsia" w:ascii="华文宋体" w:hAnsi="华文宋体" w:eastAsia="华文宋体" w:cs="仿宋"/>
                <w:kern w:val="2"/>
              </w:rPr>
              <w:t>硬盘：≥512GB SSD 固态硬盘；</w:t>
            </w:r>
          </w:p>
          <w:p w14:paraId="7A8C0F32">
            <w:pPr>
              <w:pStyle w:val="3"/>
              <w:spacing w:line="360" w:lineRule="auto"/>
              <w:rPr>
                <w:rFonts w:ascii="华文宋体" w:hAnsi="华文宋体" w:eastAsia="华文宋体" w:cs="仿宋"/>
                <w:kern w:val="2"/>
              </w:rPr>
            </w:pPr>
            <w:r>
              <w:rPr>
                <w:rFonts w:hint="eastAsia" w:ascii="华文宋体" w:hAnsi="华文宋体" w:eastAsia="华文宋体" w:cs="仿宋"/>
                <w:kern w:val="2"/>
              </w:rPr>
              <w:t>屏幕：≥14 英寸，1920×1080 全高清分辨率；</w:t>
            </w:r>
          </w:p>
          <w:p w14:paraId="6A2FF689">
            <w:pPr>
              <w:pStyle w:val="3"/>
              <w:spacing w:line="360" w:lineRule="auto"/>
              <w:rPr>
                <w:rFonts w:ascii="华文宋体" w:hAnsi="华文宋体" w:eastAsia="华文宋体" w:cs="仿宋"/>
                <w:kern w:val="2"/>
              </w:rPr>
            </w:pPr>
            <w:r>
              <w:rPr>
                <w:rFonts w:hint="eastAsia" w:ascii="华文宋体" w:hAnsi="华文宋体" w:eastAsia="华文宋体" w:cs="仿宋"/>
                <w:kern w:val="2"/>
              </w:rPr>
              <w:t>接口：必须具备HDMI视频输出接口，配备 USB</w:t>
            </w:r>
            <w:r>
              <w:rPr>
                <w:rFonts w:hint="eastAsia" w:ascii="华文宋体" w:hAnsi="华文宋体" w:eastAsia="华文宋体" w:cs="仿宋"/>
                <w:kern w:val="2"/>
              </w:rPr>
              <w:noBreakHyphen/>
            </w:r>
            <w:r>
              <w:rPr>
                <w:rFonts w:hint="eastAsia" w:ascii="华文宋体" w:hAnsi="华文宋体" w:eastAsia="华文宋体" w:cs="仿宋"/>
                <w:kern w:val="2"/>
              </w:rPr>
              <w:t>A接口，适配U盘、翻页笔；</w:t>
            </w:r>
          </w:p>
          <w:p w14:paraId="4D11CBE5">
            <w:pPr>
              <w:pStyle w:val="3"/>
              <w:spacing w:line="360" w:lineRule="auto"/>
              <w:rPr>
                <w:rFonts w:ascii="华文宋体" w:hAnsi="华文宋体" w:eastAsia="华文宋体" w:cs="仿宋"/>
                <w:kern w:val="2"/>
              </w:rPr>
            </w:pPr>
            <w:r>
              <w:rPr>
                <w:rFonts w:hint="eastAsia" w:ascii="华文宋体" w:hAnsi="华文宋体" w:eastAsia="华文宋体" w:cs="仿宋"/>
                <w:kern w:val="2"/>
              </w:rPr>
              <w:t>配套：含原装电源适配器、有线鼠标。</w:t>
            </w:r>
          </w:p>
          <w:p w14:paraId="3EC80022">
            <w:pPr>
              <w:pStyle w:val="3"/>
              <w:spacing w:line="360" w:lineRule="auto"/>
              <w:rPr>
                <w:rFonts w:ascii="华文宋体" w:hAnsi="华文宋体" w:eastAsia="华文宋体" w:cs="仿宋"/>
                <w:kern w:val="2"/>
              </w:rPr>
            </w:pPr>
            <w:r>
              <w:rPr>
                <w:rFonts w:hint="eastAsia" w:ascii="华文宋体" w:hAnsi="华文宋体" w:eastAsia="华文宋体" w:cs="仿宋"/>
                <w:kern w:val="2"/>
              </w:rPr>
              <w:t>软件系统；</w:t>
            </w:r>
          </w:p>
          <w:p w14:paraId="19BA006E">
            <w:pPr>
              <w:pStyle w:val="3"/>
              <w:spacing w:line="360" w:lineRule="auto"/>
              <w:rPr>
                <w:rFonts w:ascii="华文宋体" w:hAnsi="华文宋体" w:eastAsia="华文宋体" w:cs="仿宋"/>
                <w:kern w:val="2"/>
              </w:rPr>
            </w:pPr>
            <w:r>
              <w:rPr>
                <w:rFonts w:hint="eastAsia" w:ascii="华文宋体" w:hAnsi="华文宋体" w:eastAsia="华文宋体" w:cs="仿宋"/>
                <w:kern w:val="2"/>
              </w:rPr>
              <w:t>操作系统：Windows10/11 64位专业版，系统干净无捆绑软件；</w:t>
            </w:r>
          </w:p>
          <w:p w14:paraId="0FAF3AE7">
            <w:pPr>
              <w:pStyle w:val="3"/>
              <w:spacing w:line="360" w:lineRule="auto"/>
              <w:rPr>
                <w:rFonts w:ascii="华文宋体" w:hAnsi="华文宋体" w:eastAsia="华文宋体" w:cs="仿宋"/>
                <w:kern w:val="2"/>
              </w:rPr>
            </w:pPr>
            <w:r>
              <w:rPr>
                <w:rFonts w:hint="eastAsia" w:ascii="华文宋体" w:hAnsi="华文宋体" w:eastAsia="华文宋体" w:cs="仿宋"/>
                <w:kern w:val="2"/>
              </w:rPr>
              <w:t>预装Office/WPS 办公软件，可正常打开 PPT、PDF、视频文件；</w:t>
            </w:r>
          </w:p>
          <w:p w14:paraId="50737992">
            <w:pPr>
              <w:pStyle w:val="3"/>
              <w:spacing w:line="360" w:lineRule="auto"/>
              <w:rPr>
                <w:rFonts w:ascii="华文宋体" w:hAnsi="华文宋体" w:eastAsia="华文宋体" w:cs="仿宋"/>
                <w:kern w:val="2"/>
              </w:rPr>
            </w:pPr>
            <w:r>
              <w:rPr>
                <w:rFonts w:hint="eastAsia" w:ascii="华文宋体" w:hAnsi="华文宋体" w:eastAsia="华文宋体" w:cs="仿宋"/>
                <w:kern w:val="2"/>
              </w:rPr>
              <w:t>关闭系统自动更新，避免会议中途弹窗、重启干扰会议。</w:t>
            </w:r>
          </w:p>
          <w:p w14:paraId="790BC514">
            <w:pPr>
              <w:pStyle w:val="3"/>
              <w:spacing w:line="360" w:lineRule="auto"/>
              <w:rPr>
                <w:rFonts w:ascii="华文宋体" w:hAnsi="华文宋体" w:eastAsia="华文宋体" w:cs="仿宋"/>
                <w:kern w:val="2"/>
              </w:rPr>
            </w:pPr>
            <w:r>
              <w:rPr>
                <w:rFonts w:hint="eastAsia" w:ascii="华文宋体" w:hAnsi="华文宋体" w:eastAsia="华文宋体" w:cs="仿宋"/>
                <w:kern w:val="2"/>
              </w:rPr>
              <w:t>2）设备状态</w:t>
            </w:r>
          </w:p>
          <w:p w14:paraId="539497CF">
            <w:pPr>
              <w:pStyle w:val="3"/>
              <w:spacing w:line="360" w:lineRule="auto"/>
              <w:rPr>
                <w:rFonts w:ascii="华文宋体" w:hAnsi="华文宋体" w:eastAsia="华文宋体" w:cs="仿宋"/>
                <w:kern w:val="2"/>
              </w:rPr>
            </w:pPr>
            <w:r>
              <w:rPr>
                <w:rFonts w:hint="eastAsia" w:ascii="华文宋体" w:hAnsi="华文宋体" w:eastAsia="华文宋体" w:cs="仿宋"/>
                <w:kern w:val="2"/>
              </w:rPr>
              <w:t>设备运行稳定，无蓝屏、卡顿故障；外观完好，无严重破损；</w:t>
            </w:r>
          </w:p>
          <w:p w14:paraId="0690D0AC">
            <w:pPr>
              <w:pStyle w:val="3"/>
              <w:spacing w:line="360" w:lineRule="auto"/>
              <w:rPr>
                <w:rFonts w:ascii="华文宋体" w:hAnsi="华文宋体" w:eastAsia="华文宋体" w:cs="仿宋"/>
                <w:kern w:val="2"/>
              </w:rPr>
            </w:pPr>
            <w:r>
              <w:rPr>
                <w:rFonts w:hint="eastAsia" w:ascii="华文宋体" w:hAnsi="华文宋体" w:eastAsia="华文宋体" w:cs="仿宋"/>
                <w:kern w:val="2"/>
              </w:rPr>
              <w:t>租赁设备会前完成完整测试，模拟外接大屏/投影，确认画面复制、扩展模式正常。</w:t>
            </w:r>
          </w:p>
          <w:p w14:paraId="7CA1FC3F">
            <w:pPr>
              <w:pStyle w:val="3"/>
              <w:spacing w:line="360" w:lineRule="auto"/>
              <w:rPr>
                <w:rFonts w:ascii="华文宋体" w:hAnsi="华文宋体" w:eastAsia="华文宋体" w:cs="仿宋"/>
                <w:kern w:val="2"/>
              </w:rPr>
            </w:pPr>
            <w:r>
              <w:rPr>
                <w:rFonts w:hint="eastAsia" w:ascii="华文宋体" w:hAnsi="华文宋体" w:eastAsia="华文宋体" w:cs="仿宋"/>
                <w:kern w:val="2"/>
              </w:rPr>
              <w:t>3）服务保障要求</w:t>
            </w:r>
          </w:p>
          <w:p w14:paraId="3C937782">
            <w:pPr>
              <w:pStyle w:val="3"/>
              <w:spacing w:line="360" w:lineRule="auto"/>
              <w:rPr>
                <w:rFonts w:ascii="华文宋体" w:hAnsi="华文宋体" w:eastAsia="华文宋体"/>
                <w:kern w:val="2"/>
              </w:rPr>
            </w:pPr>
            <w:r>
              <w:rPr>
                <w:rFonts w:hint="eastAsia" w:ascii="华文宋体" w:hAnsi="华文宋体" w:eastAsia="华文宋体" w:cs="仿宋"/>
                <w:kern w:val="2"/>
              </w:rPr>
              <w:t>服务商根据学会通知，会议提前半天进场完成部署调试；会议期间配备备用笔记本电脑，一旦主机故障可快速替换；配备现场技术人员，负责设备开关机、信号切换、故障处置；</w:t>
            </w:r>
          </w:p>
        </w:tc>
        <w:tc>
          <w:tcPr>
            <w:tcW w:w="709" w:type="dxa"/>
            <w:vAlign w:val="center"/>
          </w:tcPr>
          <w:p w14:paraId="005C8D86">
            <w:pPr>
              <w:pStyle w:val="3"/>
              <w:spacing w:line="360" w:lineRule="auto"/>
              <w:rPr>
                <w:rFonts w:ascii="华文宋体" w:hAnsi="华文宋体" w:eastAsia="华文宋体"/>
                <w:kern w:val="2"/>
              </w:rPr>
            </w:pPr>
            <w:r>
              <w:rPr>
                <w:rFonts w:ascii="华文宋体" w:hAnsi="华文宋体" w:eastAsia="华文宋体"/>
                <w:kern w:val="2"/>
              </w:rPr>
              <w:t>1</w:t>
            </w:r>
          </w:p>
        </w:tc>
        <w:tc>
          <w:tcPr>
            <w:tcW w:w="709" w:type="dxa"/>
            <w:vAlign w:val="center"/>
          </w:tcPr>
          <w:p w14:paraId="79ADF23E">
            <w:pPr>
              <w:pStyle w:val="3"/>
              <w:spacing w:line="360" w:lineRule="auto"/>
              <w:rPr>
                <w:rFonts w:ascii="华文宋体" w:hAnsi="华文宋体" w:eastAsia="华文宋体"/>
                <w:kern w:val="2"/>
              </w:rPr>
            </w:pPr>
            <w:r>
              <w:rPr>
                <w:rFonts w:hint="eastAsia" w:ascii="华文宋体" w:hAnsi="华文宋体" w:eastAsia="华文宋体"/>
                <w:kern w:val="2"/>
              </w:rPr>
              <w:t>半天</w:t>
            </w:r>
          </w:p>
        </w:tc>
        <w:tc>
          <w:tcPr>
            <w:tcW w:w="1134" w:type="dxa"/>
            <w:vAlign w:val="center"/>
          </w:tcPr>
          <w:p w14:paraId="213326F1">
            <w:pPr>
              <w:pStyle w:val="3"/>
              <w:spacing w:line="360" w:lineRule="auto"/>
              <w:jc w:val="center"/>
              <w:rPr>
                <w:rFonts w:ascii="华文宋体" w:hAnsi="华文宋体" w:eastAsia="华文宋体"/>
                <w:kern w:val="2"/>
              </w:rPr>
            </w:pPr>
            <w:r>
              <w:rPr>
                <w:rFonts w:hint="eastAsia" w:ascii="华文宋体" w:hAnsi="华文宋体" w:eastAsia="华文宋体"/>
                <w:kern w:val="2"/>
              </w:rPr>
              <w:t>2</w:t>
            </w:r>
            <w:r>
              <w:rPr>
                <w:rFonts w:ascii="华文宋体" w:hAnsi="华文宋体" w:eastAsia="华文宋体"/>
                <w:kern w:val="2"/>
              </w:rPr>
              <w:t>00.00</w:t>
            </w:r>
          </w:p>
        </w:tc>
      </w:tr>
      <w:tr w14:paraId="2DC3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vAlign w:val="center"/>
          </w:tcPr>
          <w:p w14:paraId="3AAD8494">
            <w:pPr>
              <w:pStyle w:val="3"/>
              <w:spacing w:line="360" w:lineRule="auto"/>
              <w:jc w:val="center"/>
              <w:rPr>
                <w:rFonts w:ascii="华文宋体" w:hAnsi="华文宋体" w:eastAsia="华文宋体"/>
                <w:kern w:val="2"/>
              </w:rPr>
            </w:pPr>
            <w:r>
              <w:rPr>
                <w:rFonts w:hint="eastAsia" w:ascii="华文宋体" w:hAnsi="华文宋体" w:eastAsia="华文宋体"/>
                <w:b/>
                <w:kern w:val="2"/>
              </w:rPr>
              <w:t>（三）食宿需求</w:t>
            </w:r>
          </w:p>
        </w:tc>
      </w:tr>
      <w:tr w14:paraId="164F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05F1496">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vAlign w:val="center"/>
          </w:tcPr>
          <w:p w14:paraId="6AA5A238">
            <w:pPr>
              <w:pStyle w:val="3"/>
              <w:spacing w:line="360" w:lineRule="auto"/>
              <w:rPr>
                <w:rFonts w:ascii="华文宋体" w:hAnsi="华文宋体" w:eastAsia="华文宋体"/>
                <w:kern w:val="2"/>
              </w:rPr>
            </w:pPr>
            <w:r>
              <w:rPr>
                <w:rFonts w:hint="eastAsia" w:ascii="华文宋体" w:hAnsi="华文宋体" w:eastAsia="华文宋体"/>
                <w:kern w:val="2"/>
              </w:rPr>
              <w:t>住宿标准</w:t>
            </w:r>
          </w:p>
        </w:tc>
        <w:tc>
          <w:tcPr>
            <w:tcW w:w="4252" w:type="dxa"/>
            <w:vAlign w:val="center"/>
          </w:tcPr>
          <w:p w14:paraId="3FA27849">
            <w:pPr>
              <w:pStyle w:val="3"/>
              <w:spacing w:line="360" w:lineRule="auto"/>
              <w:rPr>
                <w:rFonts w:ascii="华文宋体" w:hAnsi="华文宋体" w:eastAsia="华文宋体" w:cs="仿宋"/>
                <w:kern w:val="2"/>
              </w:rPr>
            </w:pPr>
            <w:r>
              <w:rPr>
                <w:rFonts w:hint="eastAsia" w:ascii="华文宋体" w:hAnsi="华文宋体" w:eastAsia="华文宋体" w:cs="仿宋"/>
                <w:kern w:val="2"/>
              </w:rPr>
              <w:t>1）可提供标准双人间（标间）、大床房（单间）。房间数量满足会议住宿要求。</w:t>
            </w:r>
          </w:p>
          <w:p w14:paraId="56ED6FB2">
            <w:pPr>
              <w:pStyle w:val="3"/>
              <w:spacing w:line="360" w:lineRule="auto"/>
              <w:rPr>
                <w:rFonts w:ascii="华文宋体" w:hAnsi="华文宋体" w:eastAsia="华文宋体" w:cs="仿宋"/>
                <w:kern w:val="2"/>
              </w:rPr>
            </w:pPr>
            <w:r>
              <w:rPr>
                <w:rFonts w:hint="eastAsia" w:ascii="华文宋体" w:hAnsi="华文宋体" w:eastAsia="华文宋体" w:cs="仿宋"/>
                <w:kern w:val="2"/>
              </w:rPr>
              <w:t>2）客房硬件整洁完好，配备独立卫浴、24小时热水、空调、免费WiFi、洗漱用品，房间安静通风，卫生达标。标准双人间含双份自助早餐，大床房含单份自助早餐。</w:t>
            </w:r>
          </w:p>
          <w:p w14:paraId="6DE2DE12">
            <w:pPr>
              <w:pStyle w:val="3"/>
              <w:spacing w:line="360" w:lineRule="auto"/>
              <w:rPr>
                <w:rFonts w:ascii="华文宋体" w:hAnsi="华文宋体" w:eastAsia="华文宋体" w:cs="仿宋"/>
                <w:kern w:val="2"/>
              </w:rPr>
            </w:pPr>
            <w:r>
              <w:rPr>
                <w:rFonts w:hint="eastAsia" w:ascii="华文宋体" w:hAnsi="华文宋体" w:eastAsia="华文宋体" w:cs="仿宋"/>
                <w:kern w:val="2"/>
              </w:rPr>
              <w:t>3）按会议实际报到、离会时间安排入住退房。</w:t>
            </w:r>
          </w:p>
          <w:p w14:paraId="6F4D357A">
            <w:pPr>
              <w:pStyle w:val="3"/>
              <w:spacing w:line="360" w:lineRule="auto"/>
              <w:rPr>
                <w:rFonts w:ascii="华文宋体" w:hAnsi="华文宋体" w:eastAsia="华文宋体"/>
                <w:kern w:val="2"/>
              </w:rPr>
            </w:pPr>
            <w:r>
              <w:rPr>
                <w:rFonts w:hint="eastAsia" w:ascii="华文宋体" w:hAnsi="华文宋体" w:eastAsia="华文宋体" w:cs="仿宋"/>
                <w:kern w:val="2"/>
              </w:rPr>
              <w:t>4）客房需做到每日保洁、布草更换，提供24小时前台服务，做好会务人员入住信息核对、房卡分发、问题协调处置。</w:t>
            </w:r>
          </w:p>
        </w:tc>
        <w:tc>
          <w:tcPr>
            <w:tcW w:w="709" w:type="dxa"/>
            <w:vAlign w:val="center"/>
          </w:tcPr>
          <w:p w14:paraId="0009822F">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07D3F81B">
            <w:pPr>
              <w:pStyle w:val="3"/>
              <w:spacing w:line="360" w:lineRule="auto"/>
              <w:rPr>
                <w:rFonts w:ascii="华文宋体" w:hAnsi="华文宋体" w:eastAsia="华文宋体"/>
                <w:kern w:val="2"/>
              </w:rPr>
            </w:pPr>
            <w:r>
              <w:rPr>
                <w:rFonts w:hint="eastAsia" w:ascii="华文宋体" w:hAnsi="华文宋体" w:eastAsia="华文宋体"/>
                <w:kern w:val="2"/>
              </w:rPr>
              <w:t>天</w:t>
            </w:r>
          </w:p>
        </w:tc>
        <w:tc>
          <w:tcPr>
            <w:tcW w:w="1134" w:type="dxa"/>
            <w:vAlign w:val="center"/>
          </w:tcPr>
          <w:p w14:paraId="69E1CBAB">
            <w:pPr>
              <w:pStyle w:val="3"/>
              <w:spacing w:line="360" w:lineRule="auto"/>
              <w:jc w:val="center"/>
              <w:rPr>
                <w:rFonts w:ascii="华文宋体" w:hAnsi="华文宋体" w:eastAsia="华文宋体"/>
                <w:kern w:val="2"/>
              </w:rPr>
            </w:pPr>
            <w:r>
              <w:rPr>
                <w:rFonts w:hint="eastAsia" w:ascii="华文宋体" w:hAnsi="华文宋体" w:eastAsia="华文宋体"/>
                <w:kern w:val="2"/>
              </w:rPr>
              <w:t>3</w:t>
            </w:r>
            <w:r>
              <w:rPr>
                <w:rFonts w:ascii="华文宋体" w:hAnsi="华文宋体" w:eastAsia="华文宋体"/>
                <w:kern w:val="2"/>
              </w:rPr>
              <w:t>50.00</w:t>
            </w:r>
          </w:p>
        </w:tc>
      </w:tr>
      <w:tr w14:paraId="403F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DF83D8C">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vAlign w:val="center"/>
          </w:tcPr>
          <w:p w14:paraId="375E1334">
            <w:pPr>
              <w:pStyle w:val="3"/>
              <w:spacing w:line="360" w:lineRule="auto"/>
              <w:jc w:val="center"/>
              <w:rPr>
                <w:rFonts w:ascii="华文宋体" w:hAnsi="华文宋体" w:eastAsia="华文宋体"/>
                <w:kern w:val="2"/>
              </w:rPr>
            </w:pPr>
            <w:r>
              <w:rPr>
                <w:rFonts w:hint="eastAsia" w:ascii="华文宋体" w:hAnsi="华文宋体" w:eastAsia="华文宋体"/>
                <w:kern w:val="2"/>
              </w:rPr>
              <w:t>用餐标准</w:t>
            </w:r>
          </w:p>
        </w:tc>
        <w:tc>
          <w:tcPr>
            <w:tcW w:w="4252" w:type="dxa"/>
            <w:vAlign w:val="center"/>
          </w:tcPr>
          <w:p w14:paraId="2A8BCB91">
            <w:pPr>
              <w:pStyle w:val="3"/>
              <w:spacing w:line="360" w:lineRule="auto"/>
              <w:rPr>
                <w:rFonts w:ascii="华文宋体" w:hAnsi="华文宋体" w:eastAsia="华文宋体" w:cs="仿宋"/>
                <w:kern w:val="2"/>
              </w:rPr>
            </w:pPr>
            <w:r>
              <w:rPr>
                <w:rFonts w:hint="eastAsia" w:ascii="华文宋体" w:hAnsi="华文宋体" w:eastAsia="华文宋体" w:cs="仿宋"/>
                <w:kern w:val="2"/>
              </w:rPr>
              <w:t>1）根据会议安排提供正餐，形式为自助餐，优先选择酒店内部合规餐饮，食材新鲜、卫生达标，符合食品安全管理要求。</w:t>
            </w:r>
          </w:p>
          <w:p w14:paraId="500D3F5C">
            <w:pPr>
              <w:pStyle w:val="3"/>
              <w:spacing w:line="360" w:lineRule="auto"/>
              <w:rPr>
                <w:rFonts w:ascii="华文宋体" w:hAnsi="华文宋体" w:eastAsia="华文宋体" w:cs="仿宋"/>
                <w:kern w:val="2"/>
              </w:rPr>
            </w:pPr>
            <w:r>
              <w:rPr>
                <w:rFonts w:hint="eastAsia" w:ascii="华文宋体" w:hAnsi="华文宋体" w:eastAsia="华文宋体" w:cs="仿宋"/>
                <w:kern w:val="2"/>
              </w:rPr>
              <w:t>2）自助餐：菜品荤素搭配，兼顾荤素、素食需求，可提供清真等特殊餐食。</w:t>
            </w:r>
          </w:p>
          <w:p w14:paraId="2F1388BC">
            <w:pPr>
              <w:pStyle w:val="3"/>
              <w:spacing w:line="360" w:lineRule="auto"/>
              <w:rPr>
                <w:rFonts w:ascii="华文宋体" w:hAnsi="华文宋体" w:eastAsia="华文宋体"/>
                <w:kern w:val="2"/>
              </w:rPr>
            </w:pPr>
            <w:r>
              <w:rPr>
                <w:rFonts w:hint="eastAsia" w:ascii="华文宋体" w:hAnsi="华文宋体" w:eastAsia="华文宋体" w:cs="仿宋"/>
                <w:kern w:val="2"/>
              </w:rPr>
              <w:t>3）餐食包含餐具、纸巾，用餐区域整洁有序；做好就餐人员引导。</w:t>
            </w:r>
          </w:p>
        </w:tc>
        <w:tc>
          <w:tcPr>
            <w:tcW w:w="709" w:type="dxa"/>
            <w:vAlign w:val="center"/>
          </w:tcPr>
          <w:p w14:paraId="1B715BC8">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6DAC612">
            <w:pPr>
              <w:pStyle w:val="3"/>
              <w:spacing w:line="360" w:lineRule="auto"/>
              <w:rPr>
                <w:rFonts w:ascii="华文宋体" w:hAnsi="华文宋体" w:eastAsia="华文宋体"/>
                <w:kern w:val="2"/>
              </w:rPr>
            </w:pPr>
            <w:r>
              <w:rPr>
                <w:rFonts w:hint="eastAsia" w:ascii="华文宋体" w:hAnsi="华文宋体" w:eastAsia="华文宋体"/>
                <w:kern w:val="2"/>
              </w:rPr>
              <w:t>餐</w:t>
            </w:r>
          </w:p>
        </w:tc>
        <w:tc>
          <w:tcPr>
            <w:tcW w:w="1134" w:type="dxa"/>
            <w:vAlign w:val="center"/>
          </w:tcPr>
          <w:p w14:paraId="71ED8624">
            <w:pPr>
              <w:pStyle w:val="3"/>
              <w:spacing w:line="360" w:lineRule="auto"/>
              <w:jc w:val="center"/>
              <w:rPr>
                <w:rFonts w:ascii="华文宋体" w:hAnsi="华文宋体" w:eastAsia="华文宋体"/>
                <w:kern w:val="2"/>
              </w:rPr>
            </w:pPr>
            <w:r>
              <w:rPr>
                <w:rFonts w:ascii="华文宋体" w:hAnsi="华文宋体" w:eastAsia="华文宋体"/>
                <w:kern w:val="2"/>
              </w:rPr>
              <w:t>80.00</w:t>
            </w:r>
          </w:p>
        </w:tc>
      </w:tr>
      <w:tr w14:paraId="7EBF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vAlign w:val="center"/>
          </w:tcPr>
          <w:p w14:paraId="750C950F">
            <w:pPr>
              <w:pStyle w:val="3"/>
              <w:spacing w:line="360" w:lineRule="auto"/>
              <w:jc w:val="center"/>
              <w:rPr>
                <w:rFonts w:ascii="华文宋体" w:hAnsi="华文宋体" w:eastAsia="华文宋体"/>
                <w:kern w:val="2"/>
              </w:rPr>
            </w:pPr>
            <w:r>
              <w:rPr>
                <w:rFonts w:hint="eastAsia" w:ascii="华文宋体" w:hAnsi="华文宋体" w:eastAsia="华文宋体"/>
                <w:b/>
                <w:kern w:val="2"/>
              </w:rPr>
              <w:t>（四）会务用车</w:t>
            </w:r>
          </w:p>
        </w:tc>
      </w:tr>
      <w:tr w14:paraId="081D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C4B16AE">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vAlign w:val="center"/>
          </w:tcPr>
          <w:p w14:paraId="37B1D087">
            <w:pPr>
              <w:pStyle w:val="3"/>
              <w:spacing w:line="360" w:lineRule="auto"/>
              <w:jc w:val="center"/>
              <w:rPr>
                <w:rFonts w:ascii="华文宋体" w:hAnsi="华文宋体" w:eastAsia="华文宋体"/>
                <w:kern w:val="2"/>
              </w:rPr>
            </w:pPr>
            <w:r>
              <w:rPr>
                <w:rFonts w:hint="eastAsia" w:ascii="华文宋体" w:hAnsi="华文宋体" w:eastAsia="华文宋体"/>
                <w:kern w:val="2"/>
              </w:rPr>
              <w:t>4</w:t>
            </w:r>
            <w:r>
              <w:rPr>
                <w:rFonts w:ascii="华文宋体" w:hAnsi="华文宋体" w:eastAsia="华文宋体"/>
                <w:kern w:val="2"/>
              </w:rPr>
              <w:t>8</w:t>
            </w:r>
            <w:r>
              <w:rPr>
                <w:rFonts w:hint="eastAsia" w:ascii="华文宋体" w:hAnsi="华文宋体" w:eastAsia="华文宋体"/>
                <w:kern w:val="2"/>
              </w:rPr>
              <w:t>座大巴</w:t>
            </w:r>
          </w:p>
        </w:tc>
        <w:tc>
          <w:tcPr>
            <w:tcW w:w="4252" w:type="dxa"/>
            <w:vAlign w:val="center"/>
          </w:tcPr>
          <w:p w14:paraId="090C12C8">
            <w:pPr>
              <w:pStyle w:val="3"/>
              <w:spacing w:line="360" w:lineRule="auto"/>
              <w:rPr>
                <w:rFonts w:ascii="华文宋体" w:hAnsi="华文宋体" w:eastAsia="华文宋体" w:cs="仿宋"/>
                <w:kern w:val="2"/>
              </w:rPr>
            </w:pPr>
            <w:r>
              <w:rPr>
                <w:rFonts w:hint="eastAsia" w:ascii="华文宋体" w:hAnsi="华文宋体" w:eastAsia="华文宋体" w:cs="仿宋"/>
                <w:kern w:val="2"/>
              </w:rPr>
              <w:t>1）车辆要求：提供满足会议需求的合规营运会议大巴车辆，车况良好、内饰整洁消杀、空调系统正常；车辆具备完整包车客运资质、年检合格，足额投保各类保险。</w:t>
            </w:r>
          </w:p>
          <w:p w14:paraId="3B99912D">
            <w:pPr>
              <w:pStyle w:val="3"/>
              <w:spacing w:line="360" w:lineRule="auto"/>
              <w:rPr>
                <w:rFonts w:ascii="华文宋体" w:hAnsi="华文宋体" w:eastAsia="华文宋体"/>
                <w:kern w:val="2"/>
              </w:rPr>
            </w:pPr>
            <w:r>
              <w:rPr>
                <w:rFonts w:hint="eastAsia" w:ascii="华文宋体" w:hAnsi="华文宋体" w:eastAsia="华文宋体" w:cs="仿宋"/>
                <w:kern w:val="2"/>
              </w:rPr>
              <w:t>2）驾驶员持证上岗、经验丰富、文明守时。服务商提供专人调度、全程行车保障及应急备用车机制，无隐形收费，全程保障参会人员通勤安全、顺畅、有序。</w:t>
            </w:r>
          </w:p>
        </w:tc>
        <w:tc>
          <w:tcPr>
            <w:tcW w:w="709" w:type="dxa"/>
            <w:vAlign w:val="center"/>
          </w:tcPr>
          <w:p w14:paraId="0D6345CA">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34791313">
            <w:pPr>
              <w:pStyle w:val="3"/>
              <w:spacing w:line="360" w:lineRule="auto"/>
              <w:rPr>
                <w:rFonts w:ascii="华文宋体" w:hAnsi="华文宋体" w:eastAsia="华文宋体"/>
                <w:kern w:val="2"/>
              </w:rPr>
            </w:pPr>
            <w:r>
              <w:rPr>
                <w:rFonts w:hint="eastAsia" w:ascii="华文宋体" w:hAnsi="华文宋体" w:eastAsia="华文宋体"/>
                <w:kern w:val="2"/>
              </w:rPr>
              <w:t>天</w:t>
            </w:r>
          </w:p>
        </w:tc>
        <w:tc>
          <w:tcPr>
            <w:tcW w:w="1134" w:type="dxa"/>
            <w:vAlign w:val="center"/>
          </w:tcPr>
          <w:p w14:paraId="23DD9EB0">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500.00</w:t>
            </w:r>
          </w:p>
        </w:tc>
      </w:tr>
      <w:tr w14:paraId="4063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23CD5D6">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vAlign w:val="center"/>
          </w:tcPr>
          <w:p w14:paraId="22E459B2">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7</w:t>
            </w:r>
            <w:r>
              <w:rPr>
                <w:rFonts w:hint="eastAsia" w:ascii="华文宋体" w:hAnsi="华文宋体" w:eastAsia="华文宋体"/>
                <w:kern w:val="2"/>
              </w:rPr>
              <w:t>座中巴</w:t>
            </w:r>
          </w:p>
        </w:tc>
        <w:tc>
          <w:tcPr>
            <w:tcW w:w="4252" w:type="dxa"/>
            <w:vAlign w:val="center"/>
          </w:tcPr>
          <w:p w14:paraId="422BF906">
            <w:pPr>
              <w:pStyle w:val="3"/>
              <w:spacing w:line="360" w:lineRule="auto"/>
              <w:rPr>
                <w:rFonts w:ascii="华文宋体" w:hAnsi="华文宋体" w:eastAsia="华文宋体" w:cs="仿宋"/>
                <w:kern w:val="2"/>
              </w:rPr>
            </w:pPr>
            <w:r>
              <w:rPr>
                <w:rFonts w:hint="eastAsia" w:ascii="华文宋体" w:hAnsi="华文宋体" w:eastAsia="华文宋体" w:cs="仿宋"/>
                <w:kern w:val="2"/>
              </w:rPr>
              <w:t>1）车辆要求：提供满足会议需求的合规营运会议大巴车辆，车况良好、内饰整洁消杀、空调系统正常；车辆具备完整包车客运资质、年检合格，足额投保各类保险。</w:t>
            </w:r>
          </w:p>
          <w:p w14:paraId="2D51CB52">
            <w:pPr>
              <w:pStyle w:val="3"/>
              <w:spacing w:line="360" w:lineRule="auto"/>
              <w:rPr>
                <w:rFonts w:ascii="华文宋体" w:hAnsi="华文宋体" w:eastAsia="华文宋体"/>
                <w:kern w:val="2"/>
              </w:rPr>
            </w:pPr>
            <w:r>
              <w:rPr>
                <w:rFonts w:hint="eastAsia" w:ascii="华文宋体" w:hAnsi="华文宋体" w:eastAsia="华文宋体" w:cs="仿宋"/>
                <w:kern w:val="2"/>
              </w:rPr>
              <w:t>2）驾驶员持证上岗、经验丰富、文明守时。服务商提供专人调度、全程行车保障及应急备用车机制，无隐形收费，全程保障参会人员通勤安全、顺畅、有序。</w:t>
            </w:r>
          </w:p>
        </w:tc>
        <w:tc>
          <w:tcPr>
            <w:tcW w:w="709" w:type="dxa"/>
            <w:vAlign w:val="center"/>
          </w:tcPr>
          <w:p w14:paraId="35F1D178">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18FDC9C7">
            <w:pPr>
              <w:pStyle w:val="3"/>
              <w:spacing w:line="360" w:lineRule="auto"/>
              <w:rPr>
                <w:rFonts w:ascii="华文宋体" w:hAnsi="华文宋体" w:eastAsia="华文宋体"/>
                <w:kern w:val="2"/>
              </w:rPr>
            </w:pPr>
            <w:r>
              <w:rPr>
                <w:rFonts w:hint="eastAsia" w:ascii="华文宋体" w:hAnsi="华文宋体" w:eastAsia="华文宋体"/>
                <w:kern w:val="2"/>
              </w:rPr>
              <w:t>天</w:t>
            </w:r>
          </w:p>
        </w:tc>
        <w:tc>
          <w:tcPr>
            <w:tcW w:w="1134" w:type="dxa"/>
            <w:vAlign w:val="center"/>
          </w:tcPr>
          <w:p w14:paraId="5B32A152">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200.00</w:t>
            </w:r>
          </w:p>
        </w:tc>
      </w:tr>
      <w:tr w14:paraId="2CA1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BBC73A4">
            <w:pPr>
              <w:pStyle w:val="3"/>
              <w:spacing w:line="360" w:lineRule="auto"/>
              <w:rPr>
                <w:rFonts w:ascii="华文宋体" w:hAnsi="华文宋体" w:eastAsia="华文宋体"/>
                <w:kern w:val="2"/>
              </w:rPr>
            </w:pPr>
            <w:r>
              <w:rPr>
                <w:rFonts w:hint="eastAsia" w:ascii="华文宋体" w:hAnsi="华文宋体" w:eastAsia="华文宋体"/>
                <w:kern w:val="2"/>
              </w:rPr>
              <w:t>3</w:t>
            </w:r>
          </w:p>
        </w:tc>
        <w:tc>
          <w:tcPr>
            <w:tcW w:w="1418" w:type="dxa"/>
            <w:vAlign w:val="center"/>
          </w:tcPr>
          <w:p w14:paraId="17AD267C">
            <w:pPr>
              <w:pStyle w:val="3"/>
              <w:spacing w:line="360" w:lineRule="auto"/>
              <w:jc w:val="center"/>
              <w:rPr>
                <w:rFonts w:ascii="华文宋体" w:hAnsi="华文宋体" w:eastAsia="华文宋体"/>
                <w:kern w:val="2"/>
              </w:rPr>
            </w:pPr>
            <w:r>
              <w:rPr>
                <w:rFonts w:hint="eastAsia" w:ascii="华文宋体" w:hAnsi="华文宋体" w:eastAsia="华文宋体"/>
                <w:kern w:val="2"/>
              </w:rPr>
              <w:t>7座商务车</w:t>
            </w:r>
          </w:p>
        </w:tc>
        <w:tc>
          <w:tcPr>
            <w:tcW w:w="4252" w:type="dxa"/>
            <w:vAlign w:val="center"/>
          </w:tcPr>
          <w:p w14:paraId="293031C9">
            <w:pPr>
              <w:pStyle w:val="3"/>
              <w:spacing w:line="360" w:lineRule="auto"/>
              <w:rPr>
                <w:rFonts w:ascii="华文宋体" w:hAnsi="华文宋体" w:eastAsia="华文宋体" w:cs="仿宋"/>
                <w:kern w:val="2"/>
              </w:rPr>
            </w:pPr>
            <w:r>
              <w:rPr>
                <w:rFonts w:hint="eastAsia" w:ascii="华文宋体" w:hAnsi="华文宋体" w:eastAsia="华文宋体" w:cs="仿宋"/>
                <w:kern w:val="2"/>
              </w:rPr>
              <w:t>1）车辆要求：提供满足会议需求的合规营运会议大巴车辆，车况良好、内饰整洁消杀、空调系统正常；车辆具备完整包车客运资质、年检合格，足额投保各类保险。</w:t>
            </w:r>
          </w:p>
          <w:p w14:paraId="68AA1698">
            <w:pPr>
              <w:pStyle w:val="3"/>
              <w:spacing w:line="360" w:lineRule="auto"/>
              <w:rPr>
                <w:rFonts w:ascii="华文宋体" w:hAnsi="华文宋体" w:eastAsia="华文宋体"/>
                <w:kern w:val="2"/>
              </w:rPr>
            </w:pPr>
            <w:r>
              <w:rPr>
                <w:rFonts w:hint="eastAsia" w:ascii="华文宋体" w:hAnsi="华文宋体" w:eastAsia="华文宋体" w:cs="仿宋"/>
                <w:kern w:val="2"/>
              </w:rPr>
              <w:t>2）驾驶员持证上岗、经验丰富、文明守时。服务商提供专人调度、全程行车保障及应急备用车机制，无隐形收费，全程保障参会人员通勤安全、顺畅、有序。</w:t>
            </w:r>
          </w:p>
        </w:tc>
        <w:tc>
          <w:tcPr>
            <w:tcW w:w="709" w:type="dxa"/>
            <w:vAlign w:val="center"/>
          </w:tcPr>
          <w:p w14:paraId="6031C438">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704193F9">
            <w:pPr>
              <w:pStyle w:val="3"/>
              <w:spacing w:line="360" w:lineRule="auto"/>
              <w:rPr>
                <w:rFonts w:ascii="华文宋体" w:hAnsi="华文宋体" w:eastAsia="华文宋体"/>
                <w:kern w:val="2"/>
              </w:rPr>
            </w:pPr>
            <w:r>
              <w:rPr>
                <w:rFonts w:hint="eastAsia" w:ascii="华文宋体" w:hAnsi="华文宋体" w:eastAsia="华文宋体"/>
                <w:kern w:val="2"/>
              </w:rPr>
              <w:t>天</w:t>
            </w:r>
          </w:p>
        </w:tc>
        <w:tc>
          <w:tcPr>
            <w:tcW w:w="1134" w:type="dxa"/>
            <w:vAlign w:val="center"/>
          </w:tcPr>
          <w:p w14:paraId="1ED6AC6C">
            <w:pPr>
              <w:pStyle w:val="3"/>
              <w:spacing w:line="360" w:lineRule="auto"/>
              <w:jc w:val="center"/>
              <w:rPr>
                <w:rFonts w:ascii="华文宋体" w:hAnsi="华文宋体" w:eastAsia="华文宋体"/>
                <w:kern w:val="2"/>
              </w:rPr>
            </w:pPr>
            <w:r>
              <w:rPr>
                <w:rFonts w:hint="eastAsia" w:ascii="华文宋体" w:hAnsi="华文宋体" w:eastAsia="华文宋体"/>
                <w:kern w:val="2"/>
              </w:rPr>
              <w:t>8</w:t>
            </w:r>
            <w:r>
              <w:rPr>
                <w:rFonts w:ascii="华文宋体" w:hAnsi="华文宋体" w:eastAsia="华文宋体"/>
                <w:kern w:val="2"/>
              </w:rPr>
              <w:t>00.00</w:t>
            </w:r>
          </w:p>
        </w:tc>
      </w:tr>
      <w:tr w14:paraId="484E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8DA59D6">
            <w:pPr>
              <w:pStyle w:val="3"/>
              <w:spacing w:line="360" w:lineRule="auto"/>
              <w:rPr>
                <w:rFonts w:ascii="华文宋体" w:hAnsi="华文宋体" w:eastAsia="华文宋体"/>
                <w:kern w:val="2"/>
              </w:rPr>
            </w:pPr>
            <w:r>
              <w:rPr>
                <w:rFonts w:hint="eastAsia" w:ascii="华文宋体" w:hAnsi="华文宋体" w:eastAsia="华文宋体"/>
                <w:kern w:val="2"/>
              </w:rPr>
              <w:t>4</w:t>
            </w:r>
          </w:p>
        </w:tc>
        <w:tc>
          <w:tcPr>
            <w:tcW w:w="1418" w:type="dxa"/>
            <w:vAlign w:val="center"/>
          </w:tcPr>
          <w:p w14:paraId="7BB54560">
            <w:pPr>
              <w:pStyle w:val="3"/>
              <w:spacing w:line="360" w:lineRule="auto"/>
              <w:jc w:val="center"/>
              <w:rPr>
                <w:rFonts w:ascii="华文宋体" w:hAnsi="华文宋体" w:eastAsia="华文宋体"/>
                <w:kern w:val="2"/>
              </w:rPr>
            </w:pPr>
            <w:r>
              <w:rPr>
                <w:rFonts w:hint="eastAsia" w:ascii="华文宋体" w:hAnsi="华文宋体" w:eastAsia="华文宋体"/>
                <w:kern w:val="2"/>
              </w:rPr>
              <w:t>5座轿车</w:t>
            </w:r>
          </w:p>
        </w:tc>
        <w:tc>
          <w:tcPr>
            <w:tcW w:w="4252" w:type="dxa"/>
            <w:vAlign w:val="center"/>
          </w:tcPr>
          <w:p w14:paraId="54865BA1">
            <w:pPr>
              <w:pStyle w:val="3"/>
              <w:spacing w:line="360" w:lineRule="auto"/>
              <w:rPr>
                <w:rFonts w:ascii="华文宋体" w:hAnsi="华文宋体" w:eastAsia="华文宋体" w:cs="仿宋"/>
                <w:kern w:val="2"/>
              </w:rPr>
            </w:pPr>
            <w:r>
              <w:rPr>
                <w:rFonts w:hint="eastAsia" w:ascii="华文宋体" w:hAnsi="华文宋体" w:eastAsia="华文宋体" w:cs="仿宋"/>
                <w:kern w:val="2"/>
              </w:rPr>
              <w:t>1）车辆要求：提供满足会议需求的合规营运会议大巴车辆，车况良好、内饰整洁消杀、空调系统正常；车辆具备完整包车客运资质、年检合格，足额投保各类保险。</w:t>
            </w:r>
          </w:p>
          <w:p w14:paraId="74335D85">
            <w:pPr>
              <w:pStyle w:val="3"/>
              <w:spacing w:line="360" w:lineRule="auto"/>
              <w:rPr>
                <w:rFonts w:ascii="华文宋体" w:hAnsi="华文宋体" w:eastAsia="华文宋体"/>
                <w:kern w:val="2"/>
              </w:rPr>
            </w:pPr>
            <w:r>
              <w:rPr>
                <w:rFonts w:hint="eastAsia" w:ascii="华文宋体" w:hAnsi="华文宋体" w:eastAsia="华文宋体" w:cs="仿宋"/>
                <w:kern w:val="2"/>
              </w:rPr>
              <w:t>2）驾驶员持证上岗、经验丰富、文明守时。服务商提供专人调度、全程行车保障及应急备用车机制，无隐形收费，全程保障参会人员通勤安全、顺畅、有序。</w:t>
            </w:r>
          </w:p>
        </w:tc>
        <w:tc>
          <w:tcPr>
            <w:tcW w:w="709" w:type="dxa"/>
            <w:vAlign w:val="center"/>
          </w:tcPr>
          <w:p w14:paraId="7197BC03">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514B34D">
            <w:pPr>
              <w:pStyle w:val="3"/>
              <w:spacing w:line="360" w:lineRule="auto"/>
              <w:rPr>
                <w:rFonts w:ascii="华文宋体" w:hAnsi="华文宋体" w:eastAsia="华文宋体"/>
                <w:kern w:val="2"/>
              </w:rPr>
            </w:pPr>
            <w:r>
              <w:rPr>
                <w:rFonts w:hint="eastAsia" w:ascii="华文宋体" w:hAnsi="华文宋体" w:eastAsia="华文宋体"/>
                <w:kern w:val="2"/>
              </w:rPr>
              <w:t>天</w:t>
            </w:r>
          </w:p>
        </w:tc>
        <w:tc>
          <w:tcPr>
            <w:tcW w:w="1134" w:type="dxa"/>
            <w:vAlign w:val="center"/>
          </w:tcPr>
          <w:p w14:paraId="662F86AF">
            <w:pPr>
              <w:pStyle w:val="3"/>
              <w:spacing w:line="360" w:lineRule="auto"/>
              <w:jc w:val="center"/>
              <w:rPr>
                <w:rFonts w:ascii="华文宋体" w:hAnsi="华文宋体" w:eastAsia="华文宋体"/>
                <w:kern w:val="2"/>
              </w:rPr>
            </w:pPr>
            <w:r>
              <w:rPr>
                <w:rFonts w:ascii="华文宋体" w:hAnsi="华文宋体" w:eastAsia="华文宋体"/>
                <w:kern w:val="2"/>
              </w:rPr>
              <w:t>600.00</w:t>
            </w:r>
          </w:p>
        </w:tc>
      </w:tr>
      <w:tr w14:paraId="4577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vAlign w:val="center"/>
          </w:tcPr>
          <w:p w14:paraId="67ABD0D6">
            <w:pPr>
              <w:pStyle w:val="3"/>
              <w:spacing w:line="360" w:lineRule="auto"/>
              <w:jc w:val="center"/>
              <w:rPr>
                <w:rFonts w:ascii="华文宋体" w:hAnsi="华文宋体" w:eastAsia="华文宋体"/>
                <w:kern w:val="2"/>
              </w:rPr>
            </w:pPr>
            <w:r>
              <w:rPr>
                <w:rFonts w:hint="eastAsia" w:ascii="华文宋体" w:hAnsi="华文宋体" w:eastAsia="华文宋体"/>
                <w:b/>
                <w:kern w:val="2"/>
              </w:rPr>
              <w:t>（五）录像拍照</w:t>
            </w:r>
          </w:p>
        </w:tc>
      </w:tr>
      <w:tr w14:paraId="0C44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6D7D1C2">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vAlign w:val="center"/>
          </w:tcPr>
          <w:p w14:paraId="51037A43">
            <w:pPr>
              <w:pStyle w:val="3"/>
              <w:spacing w:line="360" w:lineRule="auto"/>
              <w:rPr>
                <w:rFonts w:ascii="华文宋体" w:hAnsi="华文宋体" w:eastAsia="华文宋体"/>
                <w:kern w:val="2"/>
              </w:rPr>
            </w:pPr>
            <w:r>
              <w:rPr>
                <w:rFonts w:hint="eastAsia" w:ascii="华文宋体" w:hAnsi="华文宋体" w:eastAsia="华文宋体"/>
                <w:kern w:val="2"/>
              </w:rPr>
              <w:t>会议录像及</w:t>
            </w:r>
          </w:p>
          <w:p w14:paraId="7096AE3B">
            <w:pPr>
              <w:pStyle w:val="3"/>
              <w:spacing w:line="360" w:lineRule="auto"/>
              <w:rPr>
                <w:rFonts w:ascii="华文宋体" w:hAnsi="华文宋体" w:eastAsia="华文宋体"/>
                <w:kern w:val="2"/>
              </w:rPr>
            </w:pPr>
            <w:r>
              <w:rPr>
                <w:rFonts w:hint="eastAsia" w:ascii="华文宋体" w:hAnsi="华文宋体" w:eastAsia="华文宋体"/>
                <w:kern w:val="2"/>
              </w:rPr>
              <w:t>后期剪辑</w:t>
            </w:r>
          </w:p>
        </w:tc>
        <w:tc>
          <w:tcPr>
            <w:tcW w:w="4252" w:type="dxa"/>
            <w:vAlign w:val="center"/>
          </w:tcPr>
          <w:p w14:paraId="05579B04">
            <w:pPr>
              <w:pStyle w:val="3"/>
              <w:spacing w:line="360" w:lineRule="auto"/>
              <w:rPr>
                <w:rFonts w:ascii="华文宋体" w:hAnsi="华文宋体" w:eastAsia="华文宋体" w:cs="仿宋"/>
                <w:kern w:val="2"/>
              </w:rPr>
            </w:pPr>
            <w:r>
              <w:rPr>
                <w:rFonts w:hint="eastAsia" w:ascii="华文宋体" w:hAnsi="华文宋体" w:eastAsia="华文宋体" w:cs="仿宋"/>
                <w:kern w:val="2"/>
              </w:rPr>
              <w:t>1）供应商需提供专业会议全程录像及后期剪辑服务，配备4K高清拍摄设备、专业收音设备及专职拍摄人员，提前到场调试，完整录制会议全部环节，保障音画清晰、全程无遗漏。</w:t>
            </w:r>
          </w:p>
          <w:p w14:paraId="5FA6F475">
            <w:pPr>
              <w:pStyle w:val="3"/>
              <w:spacing w:line="360" w:lineRule="auto"/>
              <w:rPr>
                <w:rFonts w:ascii="华文宋体" w:hAnsi="华文宋体" w:eastAsia="华文宋体"/>
                <w:kern w:val="2"/>
              </w:rPr>
            </w:pPr>
            <w:r>
              <w:rPr>
                <w:rFonts w:hint="eastAsia" w:ascii="华文宋体" w:hAnsi="华文宋体" w:eastAsia="华文宋体" w:cs="仿宋"/>
                <w:kern w:val="2"/>
              </w:rPr>
              <w:t>2）可提供视频精剪、调色、字幕制作、画面包装、格式优化等后期服务，按时交付高清成片及原始素材，严格落实素材保密制度。</w:t>
            </w:r>
          </w:p>
        </w:tc>
        <w:tc>
          <w:tcPr>
            <w:tcW w:w="709" w:type="dxa"/>
            <w:vAlign w:val="center"/>
          </w:tcPr>
          <w:p w14:paraId="22FD236B">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4447D76">
            <w:pPr>
              <w:pStyle w:val="3"/>
              <w:spacing w:line="360" w:lineRule="auto"/>
              <w:rPr>
                <w:rFonts w:ascii="华文宋体" w:hAnsi="华文宋体" w:eastAsia="华文宋体"/>
                <w:kern w:val="2"/>
              </w:rPr>
            </w:pPr>
            <w:r>
              <w:rPr>
                <w:rFonts w:hint="eastAsia" w:ascii="华文宋体" w:hAnsi="华文宋体" w:eastAsia="华文宋体"/>
                <w:kern w:val="2"/>
              </w:rPr>
              <w:t>半天</w:t>
            </w:r>
          </w:p>
        </w:tc>
        <w:tc>
          <w:tcPr>
            <w:tcW w:w="1134" w:type="dxa"/>
            <w:vAlign w:val="center"/>
          </w:tcPr>
          <w:p w14:paraId="328DFD8C">
            <w:pPr>
              <w:pStyle w:val="3"/>
              <w:spacing w:line="360" w:lineRule="auto"/>
              <w:jc w:val="center"/>
              <w:rPr>
                <w:rFonts w:ascii="华文宋体" w:hAnsi="华文宋体" w:eastAsia="华文宋体"/>
                <w:kern w:val="2"/>
              </w:rPr>
            </w:pPr>
            <w:r>
              <w:rPr>
                <w:rFonts w:hint="eastAsia" w:ascii="华文宋体" w:hAnsi="华文宋体" w:eastAsia="华文宋体"/>
                <w:kern w:val="2"/>
              </w:rPr>
              <w:t>3</w:t>
            </w:r>
            <w:r>
              <w:rPr>
                <w:rFonts w:ascii="华文宋体" w:hAnsi="华文宋体" w:eastAsia="华文宋体"/>
                <w:kern w:val="2"/>
              </w:rPr>
              <w:t>500.00</w:t>
            </w:r>
          </w:p>
        </w:tc>
      </w:tr>
      <w:tr w14:paraId="7CCF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13A4FB6">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vAlign w:val="center"/>
          </w:tcPr>
          <w:p w14:paraId="0E5C2E1B">
            <w:pPr>
              <w:pStyle w:val="3"/>
              <w:spacing w:line="360" w:lineRule="auto"/>
              <w:jc w:val="center"/>
              <w:rPr>
                <w:rFonts w:ascii="华文宋体" w:hAnsi="华文宋体" w:eastAsia="华文宋体"/>
                <w:kern w:val="2"/>
              </w:rPr>
            </w:pPr>
            <w:r>
              <w:rPr>
                <w:rFonts w:hint="eastAsia" w:ascii="华文宋体" w:hAnsi="华文宋体" w:eastAsia="华文宋体"/>
                <w:kern w:val="2"/>
              </w:rPr>
              <w:t>会议拍照及</w:t>
            </w:r>
          </w:p>
          <w:p w14:paraId="7510DC2B">
            <w:pPr>
              <w:pStyle w:val="3"/>
              <w:spacing w:line="360" w:lineRule="auto"/>
              <w:jc w:val="center"/>
              <w:rPr>
                <w:rFonts w:ascii="华文宋体" w:hAnsi="华文宋体" w:eastAsia="华文宋体"/>
                <w:kern w:val="2"/>
              </w:rPr>
            </w:pPr>
            <w:r>
              <w:rPr>
                <w:rFonts w:hint="eastAsia" w:ascii="华文宋体" w:hAnsi="华文宋体" w:eastAsia="华文宋体"/>
                <w:kern w:val="2"/>
              </w:rPr>
              <w:t>照片直播</w:t>
            </w:r>
          </w:p>
        </w:tc>
        <w:tc>
          <w:tcPr>
            <w:tcW w:w="4252" w:type="dxa"/>
            <w:vAlign w:val="center"/>
          </w:tcPr>
          <w:p w14:paraId="6D95DED8">
            <w:pPr>
              <w:pStyle w:val="3"/>
              <w:spacing w:line="360" w:lineRule="auto"/>
              <w:rPr>
                <w:rFonts w:ascii="华文宋体" w:hAnsi="华文宋体" w:eastAsia="华文宋体" w:cs="仿宋"/>
                <w:kern w:val="2"/>
              </w:rPr>
            </w:pPr>
            <w:r>
              <w:rPr>
                <w:rFonts w:hint="eastAsia" w:ascii="华文宋体" w:hAnsi="华文宋体" w:eastAsia="华文宋体" w:cs="仿宋"/>
                <w:kern w:val="2"/>
              </w:rPr>
              <w:t>1）提供专业会务全程摄影服务，配备高清摄影设备及专职摄影师，提前到场完成取景、参数调试，全程抓拍会议开场致辞、嘉宾主旨报告、分论坛研讨交流、合影留念、会场全景等核心场景，成片画面清晰、构图规整、色调统一，无模糊、过曝、缺失画面等问题。</w:t>
            </w:r>
          </w:p>
          <w:p w14:paraId="22DB62C5">
            <w:pPr>
              <w:pStyle w:val="3"/>
              <w:spacing w:line="360" w:lineRule="auto"/>
              <w:rPr>
                <w:rFonts w:ascii="华文宋体" w:hAnsi="华文宋体" w:eastAsia="华文宋体"/>
                <w:kern w:val="2"/>
              </w:rPr>
            </w:pPr>
            <w:r>
              <w:rPr>
                <w:rFonts w:hint="eastAsia" w:ascii="华文宋体" w:hAnsi="华文宋体" w:eastAsia="华文宋体" w:cs="仿宋"/>
                <w:kern w:val="2"/>
              </w:rPr>
              <w:t>2）支持实时照片直播服务，搭建专属直播相册，会议现场实时上传、精修归档，支持参会人员在线浏览、下载、转发。服务全程落实保密要求，严禁私自传播、商用会议影像素材。</w:t>
            </w:r>
          </w:p>
        </w:tc>
        <w:tc>
          <w:tcPr>
            <w:tcW w:w="709" w:type="dxa"/>
            <w:vAlign w:val="center"/>
          </w:tcPr>
          <w:p w14:paraId="5568F0DD">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35ED2B32">
            <w:pPr>
              <w:pStyle w:val="3"/>
              <w:spacing w:line="360" w:lineRule="auto"/>
              <w:rPr>
                <w:rFonts w:ascii="华文宋体" w:hAnsi="华文宋体" w:eastAsia="华文宋体"/>
                <w:kern w:val="2"/>
              </w:rPr>
            </w:pPr>
            <w:r>
              <w:rPr>
                <w:rFonts w:hint="eastAsia" w:ascii="华文宋体" w:hAnsi="华文宋体" w:eastAsia="华文宋体"/>
                <w:kern w:val="2"/>
              </w:rPr>
              <w:t>半天</w:t>
            </w:r>
          </w:p>
        </w:tc>
        <w:tc>
          <w:tcPr>
            <w:tcW w:w="1134" w:type="dxa"/>
            <w:vAlign w:val="center"/>
          </w:tcPr>
          <w:p w14:paraId="669EFFFE">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500.00</w:t>
            </w:r>
          </w:p>
        </w:tc>
      </w:tr>
      <w:tr w14:paraId="2E95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vAlign w:val="center"/>
          </w:tcPr>
          <w:p w14:paraId="1DCF2399">
            <w:pPr>
              <w:pStyle w:val="3"/>
              <w:spacing w:line="360" w:lineRule="auto"/>
              <w:jc w:val="center"/>
              <w:rPr>
                <w:rFonts w:ascii="华文宋体" w:hAnsi="华文宋体" w:eastAsia="华文宋体"/>
                <w:kern w:val="2"/>
              </w:rPr>
            </w:pPr>
            <w:r>
              <w:rPr>
                <w:rFonts w:hint="eastAsia" w:ascii="华文宋体" w:hAnsi="华文宋体" w:eastAsia="华文宋体"/>
                <w:b/>
                <w:kern w:val="2"/>
              </w:rPr>
              <w:t>（六）接待引导</w:t>
            </w:r>
          </w:p>
        </w:tc>
      </w:tr>
      <w:tr w14:paraId="6693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2B08580">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vAlign w:val="center"/>
          </w:tcPr>
          <w:p w14:paraId="38FE5897">
            <w:pPr>
              <w:pStyle w:val="3"/>
              <w:spacing w:line="360" w:lineRule="auto"/>
              <w:jc w:val="center"/>
              <w:rPr>
                <w:rFonts w:ascii="华文宋体" w:hAnsi="华文宋体" w:eastAsia="华文宋体"/>
                <w:kern w:val="2"/>
              </w:rPr>
            </w:pPr>
            <w:r>
              <w:rPr>
                <w:rFonts w:hint="eastAsia" w:ascii="华文宋体" w:hAnsi="华文宋体" w:eastAsia="华文宋体"/>
                <w:kern w:val="2"/>
              </w:rPr>
              <w:t>专家接送站（机）</w:t>
            </w:r>
          </w:p>
        </w:tc>
        <w:tc>
          <w:tcPr>
            <w:tcW w:w="4252" w:type="dxa"/>
            <w:vAlign w:val="center"/>
          </w:tcPr>
          <w:p w14:paraId="10997193">
            <w:pPr>
              <w:pStyle w:val="3"/>
              <w:spacing w:line="360" w:lineRule="auto"/>
              <w:rPr>
                <w:rFonts w:ascii="华文宋体" w:hAnsi="华文宋体" w:eastAsia="华文宋体" w:cs="仿宋"/>
                <w:kern w:val="2"/>
              </w:rPr>
            </w:pPr>
            <w:r>
              <w:rPr>
                <w:rFonts w:hint="eastAsia" w:ascii="华文宋体" w:hAnsi="华文宋体" w:eastAsia="华文宋体" w:cs="仿宋"/>
                <w:kern w:val="2"/>
              </w:rPr>
              <w:t>专家接送站（机）人员须着装整洁、文明礼貌用语、守时守信，提前对接航班、车次信息，预判延误、晚点等突发情况，提前抵达等候点位，主动完成接站、搬运行李、全程平稳接送服务。全程提供专属贴心接送保障，文明服务、无额外隐形消费。</w:t>
            </w:r>
          </w:p>
        </w:tc>
        <w:tc>
          <w:tcPr>
            <w:tcW w:w="709" w:type="dxa"/>
            <w:vAlign w:val="center"/>
          </w:tcPr>
          <w:p w14:paraId="69A6CA46">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3EAAD046">
            <w:pPr>
              <w:pStyle w:val="3"/>
              <w:spacing w:line="360" w:lineRule="auto"/>
              <w:rPr>
                <w:rFonts w:ascii="华文宋体" w:hAnsi="华文宋体" w:eastAsia="华文宋体"/>
                <w:kern w:val="2"/>
              </w:rPr>
            </w:pPr>
            <w:r>
              <w:rPr>
                <w:rFonts w:hint="eastAsia" w:ascii="华文宋体" w:hAnsi="华文宋体" w:eastAsia="华文宋体"/>
                <w:kern w:val="2"/>
              </w:rPr>
              <w:t>位</w:t>
            </w:r>
          </w:p>
        </w:tc>
        <w:tc>
          <w:tcPr>
            <w:tcW w:w="1134" w:type="dxa"/>
            <w:vAlign w:val="center"/>
          </w:tcPr>
          <w:p w14:paraId="3A04D609">
            <w:pPr>
              <w:pStyle w:val="3"/>
              <w:spacing w:line="360" w:lineRule="auto"/>
              <w:jc w:val="center"/>
              <w:rPr>
                <w:rFonts w:ascii="华文宋体" w:hAnsi="华文宋体" w:eastAsia="华文宋体"/>
                <w:kern w:val="2"/>
              </w:rPr>
            </w:pPr>
            <w:r>
              <w:rPr>
                <w:rFonts w:hint="eastAsia" w:ascii="华文宋体" w:hAnsi="华文宋体" w:eastAsia="华文宋体"/>
                <w:kern w:val="2"/>
              </w:rPr>
              <w:t>1</w:t>
            </w:r>
            <w:r>
              <w:rPr>
                <w:rFonts w:ascii="华文宋体" w:hAnsi="华文宋体" w:eastAsia="华文宋体"/>
                <w:kern w:val="2"/>
              </w:rPr>
              <w:t>50.00</w:t>
            </w:r>
          </w:p>
        </w:tc>
      </w:tr>
      <w:tr w14:paraId="6CC8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4A3F032">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vAlign w:val="center"/>
          </w:tcPr>
          <w:p w14:paraId="30429950">
            <w:pPr>
              <w:pStyle w:val="3"/>
              <w:spacing w:line="360" w:lineRule="auto"/>
              <w:rPr>
                <w:rFonts w:ascii="华文宋体" w:hAnsi="华文宋体" w:eastAsia="华文宋体"/>
                <w:kern w:val="2"/>
              </w:rPr>
            </w:pPr>
            <w:r>
              <w:rPr>
                <w:rFonts w:hint="eastAsia" w:ascii="华文宋体" w:hAnsi="华文宋体" w:eastAsia="华文宋体"/>
                <w:kern w:val="2"/>
              </w:rPr>
              <w:t>会议签到引导服务</w:t>
            </w:r>
          </w:p>
        </w:tc>
        <w:tc>
          <w:tcPr>
            <w:tcW w:w="4252" w:type="dxa"/>
            <w:vAlign w:val="center"/>
          </w:tcPr>
          <w:p w14:paraId="4EE23A1D">
            <w:pPr>
              <w:pStyle w:val="3"/>
              <w:spacing w:line="360" w:lineRule="auto"/>
              <w:rPr>
                <w:rFonts w:ascii="华文宋体" w:hAnsi="华文宋体" w:eastAsia="华文宋体" w:cs="仿宋"/>
                <w:kern w:val="2"/>
              </w:rPr>
            </w:pPr>
            <w:r>
              <w:rPr>
                <w:rFonts w:hint="eastAsia" w:ascii="华文宋体" w:hAnsi="华文宋体" w:eastAsia="华文宋体" w:cs="仿宋"/>
                <w:kern w:val="2"/>
              </w:rPr>
              <w:t>1）提供专业会议签到与现场引导服务，按需配备足量会务工作人员，服务规范、熟悉会议流程。负责参会人员登记、纸质签到、资料袋分发、参会答疑等工作，有序引导参会嘉宾、代表入座、通行及区域分流，维护签到及会场秩序。</w:t>
            </w:r>
          </w:p>
          <w:p w14:paraId="0600622A">
            <w:pPr>
              <w:pStyle w:val="3"/>
              <w:spacing w:line="360" w:lineRule="auto"/>
              <w:rPr>
                <w:rFonts w:ascii="华文宋体" w:hAnsi="华文宋体" w:eastAsia="华文宋体"/>
                <w:kern w:val="2"/>
              </w:rPr>
            </w:pPr>
            <w:r>
              <w:rPr>
                <w:rFonts w:hint="eastAsia" w:ascii="华文宋体" w:hAnsi="华文宋体" w:eastAsia="华文宋体" w:cs="仿宋"/>
                <w:kern w:val="2"/>
              </w:rPr>
              <w:t>2）提前完成签到物料布置、流程彩排，及时处置签到拥堵、信息核对异常等现场问题。</w:t>
            </w:r>
          </w:p>
        </w:tc>
        <w:tc>
          <w:tcPr>
            <w:tcW w:w="709" w:type="dxa"/>
            <w:vAlign w:val="center"/>
          </w:tcPr>
          <w:p w14:paraId="57C29F67">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06A0A75">
            <w:pPr>
              <w:pStyle w:val="3"/>
              <w:spacing w:line="360" w:lineRule="auto"/>
              <w:rPr>
                <w:rFonts w:ascii="华文宋体" w:hAnsi="华文宋体" w:eastAsia="华文宋体"/>
                <w:kern w:val="2"/>
              </w:rPr>
            </w:pPr>
            <w:r>
              <w:rPr>
                <w:rFonts w:hint="eastAsia" w:ascii="华文宋体" w:hAnsi="华文宋体" w:eastAsia="华文宋体"/>
                <w:kern w:val="2"/>
              </w:rPr>
              <w:t>项</w:t>
            </w:r>
          </w:p>
        </w:tc>
        <w:tc>
          <w:tcPr>
            <w:tcW w:w="1134" w:type="dxa"/>
            <w:vAlign w:val="center"/>
          </w:tcPr>
          <w:p w14:paraId="5F2014C0">
            <w:pPr>
              <w:pStyle w:val="3"/>
              <w:spacing w:line="360" w:lineRule="auto"/>
              <w:jc w:val="center"/>
              <w:rPr>
                <w:rFonts w:ascii="华文宋体" w:hAnsi="华文宋体" w:eastAsia="华文宋体"/>
                <w:kern w:val="2"/>
              </w:rPr>
            </w:pPr>
            <w:r>
              <w:rPr>
                <w:rFonts w:hint="eastAsia" w:ascii="华文宋体" w:hAnsi="华文宋体" w:eastAsia="华文宋体"/>
                <w:kern w:val="2"/>
              </w:rPr>
              <w:t>3</w:t>
            </w:r>
            <w:r>
              <w:rPr>
                <w:rFonts w:ascii="华文宋体" w:hAnsi="华文宋体" w:eastAsia="华文宋体"/>
                <w:kern w:val="2"/>
              </w:rPr>
              <w:t>000.00</w:t>
            </w:r>
          </w:p>
        </w:tc>
      </w:tr>
      <w:tr w14:paraId="1439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gridSpan w:val="6"/>
            <w:vAlign w:val="center"/>
          </w:tcPr>
          <w:p w14:paraId="2C7EB6DB">
            <w:pPr>
              <w:pStyle w:val="3"/>
              <w:spacing w:line="360" w:lineRule="auto"/>
              <w:jc w:val="center"/>
              <w:rPr>
                <w:rFonts w:ascii="华文宋体" w:hAnsi="华文宋体" w:eastAsia="华文宋体"/>
                <w:kern w:val="2"/>
              </w:rPr>
            </w:pPr>
            <w:r>
              <w:rPr>
                <w:rFonts w:hint="eastAsia" w:ascii="华文宋体" w:hAnsi="华文宋体" w:eastAsia="华文宋体"/>
                <w:b/>
                <w:kern w:val="2"/>
              </w:rPr>
              <w:t>（七）应急准备</w:t>
            </w:r>
          </w:p>
        </w:tc>
      </w:tr>
      <w:tr w14:paraId="479A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69CEEFE">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1418" w:type="dxa"/>
            <w:vAlign w:val="center"/>
          </w:tcPr>
          <w:p w14:paraId="4D892CDC">
            <w:pPr>
              <w:pStyle w:val="3"/>
              <w:spacing w:line="360" w:lineRule="auto"/>
              <w:jc w:val="center"/>
              <w:rPr>
                <w:rFonts w:ascii="华文宋体" w:hAnsi="华文宋体" w:eastAsia="华文宋体"/>
                <w:kern w:val="2"/>
              </w:rPr>
            </w:pPr>
            <w:r>
              <w:rPr>
                <w:rFonts w:hint="eastAsia" w:ascii="华文宋体" w:hAnsi="华文宋体" w:eastAsia="华文宋体"/>
                <w:kern w:val="2"/>
              </w:rPr>
              <w:t>特殊天气应急准备</w:t>
            </w:r>
          </w:p>
        </w:tc>
        <w:tc>
          <w:tcPr>
            <w:tcW w:w="4252" w:type="dxa"/>
            <w:vAlign w:val="center"/>
          </w:tcPr>
          <w:p w14:paraId="228AE2AB">
            <w:pPr>
              <w:pStyle w:val="3"/>
              <w:spacing w:line="360" w:lineRule="auto"/>
              <w:rPr>
                <w:rFonts w:ascii="华文宋体" w:hAnsi="华文宋体" w:eastAsia="华文宋体"/>
                <w:kern w:val="2"/>
              </w:rPr>
            </w:pPr>
            <w:r>
              <w:rPr>
                <w:rFonts w:hint="eastAsia" w:ascii="华文宋体" w:hAnsi="华文宋体" w:eastAsia="华文宋体" w:cs="仿宋"/>
                <w:kern w:val="2"/>
              </w:rPr>
              <w:t>建立会议特殊天气应急机制，针对暴雨、大风、高温、雨雪冰冻等恶劣天气，提前预判天气状况，制定专项应急预案。提前做好场地防护、交通接驳、人员疏散、物资防雨防滑等准备，遇天气突发变化，及时配合调整会务流程、优化出行及场地方案，快速处置各类突发状况。</w:t>
            </w:r>
          </w:p>
        </w:tc>
        <w:tc>
          <w:tcPr>
            <w:tcW w:w="709" w:type="dxa"/>
            <w:vAlign w:val="center"/>
          </w:tcPr>
          <w:p w14:paraId="45267F6E">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70F37979">
            <w:pPr>
              <w:pStyle w:val="3"/>
              <w:spacing w:line="360" w:lineRule="auto"/>
              <w:rPr>
                <w:rFonts w:ascii="华文宋体" w:hAnsi="华文宋体" w:eastAsia="华文宋体"/>
                <w:kern w:val="2"/>
              </w:rPr>
            </w:pPr>
            <w:r>
              <w:rPr>
                <w:rFonts w:hint="eastAsia" w:ascii="华文宋体" w:hAnsi="华文宋体" w:eastAsia="华文宋体"/>
                <w:kern w:val="2"/>
              </w:rPr>
              <w:t>项</w:t>
            </w:r>
          </w:p>
        </w:tc>
        <w:tc>
          <w:tcPr>
            <w:tcW w:w="1134" w:type="dxa"/>
            <w:vAlign w:val="center"/>
          </w:tcPr>
          <w:p w14:paraId="478800FB">
            <w:pPr>
              <w:pStyle w:val="3"/>
              <w:spacing w:line="360" w:lineRule="auto"/>
              <w:jc w:val="center"/>
              <w:rPr>
                <w:rFonts w:ascii="华文宋体" w:hAnsi="华文宋体" w:eastAsia="华文宋体"/>
                <w:kern w:val="2"/>
              </w:rPr>
            </w:pPr>
            <w:r>
              <w:rPr>
                <w:rFonts w:hint="eastAsia" w:ascii="华文宋体" w:hAnsi="华文宋体" w:eastAsia="华文宋体"/>
                <w:kern w:val="2"/>
              </w:rPr>
              <w:t>2</w:t>
            </w:r>
            <w:r>
              <w:rPr>
                <w:rFonts w:ascii="华文宋体" w:hAnsi="华文宋体" w:eastAsia="华文宋体"/>
                <w:kern w:val="2"/>
              </w:rPr>
              <w:t>000.00</w:t>
            </w:r>
          </w:p>
        </w:tc>
      </w:tr>
      <w:tr w14:paraId="505C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BF7714E">
            <w:pPr>
              <w:pStyle w:val="3"/>
              <w:spacing w:line="360" w:lineRule="auto"/>
              <w:rPr>
                <w:rFonts w:ascii="华文宋体" w:hAnsi="华文宋体" w:eastAsia="华文宋体"/>
                <w:kern w:val="2"/>
              </w:rPr>
            </w:pPr>
            <w:r>
              <w:rPr>
                <w:rFonts w:hint="eastAsia" w:ascii="华文宋体" w:hAnsi="华文宋体" w:eastAsia="华文宋体"/>
                <w:kern w:val="2"/>
              </w:rPr>
              <w:t>2</w:t>
            </w:r>
          </w:p>
        </w:tc>
        <w:tc>
          <w:tcPr>
            <w:tcW w:w="1418" w:type="dxa"/>
            <w:vAlign w:val="center"/>
          </w:tcPr>
          <w:p w14:paraId="2EC26546">
            <w:pPr>
              <w:pStyle w:val="3"/>
              <w:spacing w:line="360" w:lineRule="auto"/>
              <w:jc w:val="center"/>
              <w:rPr>
                <w:rFonts w:ascii="华文宋体" w:hAnsi="华文宋体" w:eastAsia="华文宋体"/>
                <w:kern w:val="2"/>
              </w:rPr>
            </w:pPr>
            <w:r>
              <w:rPr>
                <w:rFonts w:hint="eastAsia" w:ascii="华文宋体" w:hAnsi="华文宋体" w:eastAsia="华文宋体"/>
                <w:kern w:val="2"/>
              </w:rPr>
              <w:t>会议安全应急准备</w:t>
            </w:r>
          </w:p>
        </w:tc>
        <w:tc>
          <w:tcPr>
            <w:tcW w:w="4252" w:type="dxa"/>
            <w:vAlign w:val="center"/>
          </w:tcPr>
          <w:p w14:paraId="72B40126">
            <w:pPr>
              <w:pStyle w:val="3"/>
              <w:spacing w:line="360" w:lineRule="auto"/>
              <w:rPr>
                <w:rFonts w:ascii="华文宋体" w:hAnsi="华文宋体" w:eastAsia="华文宋体"/>
                <w:kern w:val="2"/>
              </w:rPr>
            </w:pPr>
            <w:r>
              <w:rPr>
                <w:rFonts w:hint="eastAsia" w:ascii="华文宋体" w:hAnsi="华文宋体" w:eastAsia="华文宋体" w:cs="仿宋"/>
                <w:kern w:val="2"/>
              </w:rPr>
              <w:t>全程负责会议现场安全应急保障，提前排查会场水电、消防、通道、设施设备等安全隐患，确保消防通道畅通、应急物资齐全有效。制定人员拥挤、突发伤病、现场突发纠纷、设备险情等各类突发事件应急预案，配备专人负责现场安全值守，具备快速应急处置、人员疏导、紧急报备及协助救援能力。严格落实会务安全管理责任，杜绝安全事故发生。</w:t>
            </w:r>
          </w:p>
        </w:tc>
        <w:tc>
          <w:tcPr>
            <w:tcW w:w="709" w:type="dxa"/>
            <w:vAlign w:val="center"/>
          </w:tcPr>
          <w:p w14:paraId="7E9CFD05">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7A3B082">
            <w:pPr>
              <w:pStyle w:val="3"/>
              <w:spacing w:line="360" w:lineRule="auto"/>
              <w:rPr>
                <w:rFonts w:ascii="华文宋体" w:hAnsi="华文宋体" w:eastAsia="华文宋体"/>
                <w:kern w:val="2"/>
              </w:rPr>
            </w:pPr>
            <w:r>
              <w:rPr>
                <w:rFonts w:hint="eastAsia" w:ascii="华文宋体" w:hAnsi="华文宋体" w:eastAsia="华文宋体"/>
                <w:kern w:val="2"/>
              </w:rPr>
              <w:t>项</w:t>
            </w:r>
          </w:p>
        </w:tc>
        <w:tc>
          <w:tcPr>
            <w:tcW w:w="1134" w:type="dxa"/>
            <w:vAlign w:val="center"/>
          </w:tcPr>
          <w:p w14:paraId="0DB769A2">
            <w:pPr>
              <w:pStyle w:val="3"/>
              <w:spacing w:line="360" w:lineRule="auto"/>
              <w:jc w:val="center"/>
              <w:rPr>
                <w:rFonts w:ascii="华文宋体" w:hAnsi="华文宋体" w:eastAsia="华文宋体"/>
                <w:kern w:val="2"/>
              </w:rPr>
            </w:pPr>
            <w:r>
              <w:rPr>
                <w:rFonts w:hint="eastAsia" w:ascii="华文宋体" w:hAnsi="华文宋体" w:eastAsia="华文宋体"/>
                <w:kern w:val="2"/>
              </w:rPr>
              <w:t>2</w:t>
            </w:r>
            <w:r>
              <w:rPr>
                <w:rFonts w:ascii="华文宋体" w:hAnsi="华文宋体" w:eastAsia="华文宋体"/>
                <w:kern w:val="2"/>
              </w:rPr>
              <w:t>000.00</w:t>
            </w:r>
          </w:p>
        </w:tc>
      </w:tr>
      <w:tr w14:paraId="16DB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6D4262B">
            <w:pPr>
              <w:pStyle w:val="3"/>
              <w:spacing w:line="360" w:lineRule="auto"/>
              <w:rPr>
                <w:rFonts w:ascii="华文宋体" w:hAnsi="华文宋体" w:eastAsia="华文宋体"/>
                <w:kern w:val="2"/>
              </w:rPr>
            </w:pPr>
            <w:r>
              <w:rPr>
                <w:rFonts w:hint="eastAsia" w:ascii="华文宋体" w:hAnsi="华文宋体" w:eastAsia="华文宋体"/>
                <w:kern w:val="2"/>
              </w:rPr>
              <w:t>3</w:t>
            </w:r>
          </w:p>
        </w:tc>
        <w:tc>
          <w:tcPr>
            <w:tcW w:w="1418" w:type="dxa"/>
            <w:vAlign w:val="center"/>
          </w:tcPr>
          <w:p w14:paraId="23C920CE">
            <w:pPr>
              <w:pStyle w:val="3"/>
              <w:spacing w:line="360" w:lineRule="auto"/>
              <w:jc w:val="center"/>
              <w:rPr>
                <w:rFonts w:ascii="华文宋体" w:hAnsi="华文宋体" w:eastAsia="华文宋体"/>
                <w:kern w:val="2"/>
              </w:rPr>
            </w:pPr>
            <w:r>
              <w:rPr>
                <w:rFonts w:hint="eastAsia" w:ascii="华文宋体" w:hAnsi="华文宋体" w:eastAsia="华文宋体"/>
                <w:kern w:val="2"/>
              </w:rPr>
              <w:t>设备运行技术保障</w:t>
            </w:r>
          </w:p>
        </w:tc>
        <w:tc>
          <w:tcPr>
            <w:tcW w:w="4252" w:type="dxa"/>
            <w:vAlign w:val="center"/>
          </w:tcPr>
          <w:p w14:paraId="75FC48DD">
            <w:pPr>
              <w:pStyle w:val="3"/>
              <w:spacing w:line="360" w:lineRule="auto"/>
              <w:rPr>
                <w:rFonts w:ascii="华文宋体" w:hAnsi="华文宋体" w:eastAsia="华文宋体"/>
                <w:kern w:val="2"/>
              </w:rPr>
            </w:pPr>
            <w:r>
              <w:rPr>
                <w:rFonts w:hint="eastAsia" w:ascii="华文宋体" w:hAnsi="华文宋体" w:eastAsia="华文宋体" w:cs="仿宋"/>
                <w:kern w:val="2"/>
              </w:rPr>
              <w:t>供应商提供会议全程专业设备技术保障服务，涵盖音响、投影、LED屏、电脑、收音、直播、灯光等全部会务设备。会前完成全方位调试、排查隐患、设备试运行工作，备好备用设备及耗材；会议期间配备专职技术人员全程驻场值守，实时监控设备运行状态，快速处置卡顿、故障、信号异常等技术问题，保障会议音视频、播放、传输全程稳定无差错。</w:t>
            </w:r>
          </w:p>
        </w:tc>
        <w:tc>
          <w:tcPr>
            <w:tcW w:w="709" w:type="dxa"/>
            <w:vAlign w:val="center"/>
          </w:tcPr>
          <w:p w14:paraId="6A8431CE">
            <w:pPr>
              <w:pStyle w:val="3"/>
              <w:spacing w:line="360" w:lineRule="auto"/>
              <w:rPr>
                <w:rFonts w:ascii="华文宋体" w:hAnsi="华文宋体" w:eastAsia="华文宋体"/>
                <w:kern w:val="2"/>
              </w:rPr>
            </w:pPr>
            <w:r>
              <w:rPr>
                <w:rFonts w:hint="eastAsia" w:ascii="华文宋体" w:hAnsi="华文宋体" w:eastAsia="华文宋体"/>
                <w:kern w:val="2"/>
              </w:rPr>
              <w:t>1</w:t>
            </w:r>
          </w:p>
        </w:tc>
        <w:tc>
          <w:tcPr>
            <w:tcW w:w="709" w:type="dxa"/>
            <w:vAlign w:val="center"/>
          </w:tcPr>
          <w:p w14:paraId="6C779ED9">
            <w:pPr>
              <w:pStyle w:val="3"/>
              <w:spacing w:line="360" w:lineRule="auto"/>
              <w:rPr>
                <w:rFonts w:ascii="华文宋体" w:hAnsi="华文宋体" w:eastAsia="华文宋体"/>
                <w:kern w:val="2"/>
              </w:rPr>
            </w:pPr>
            <w:r>
              <w:rPr>
                <w:rFonts w:hint="eastAsia" w:ascii="华文宋体" w:hAnsi="华文宋体" w:eastAsia="华文宋体"/>
                <w:kern w:val="2"/>
              </w:rPr>
              <w:t>项</w:t>
            </w:r>
          </w:p>
        </w:tc>
        <w:tc>
          <w:tcPr>
            <w:tcW w:w="1134" w:type="dxa"/>
            <w:vAlign w:val="center"/>
          </w:tcPr>
          <w:p w14:paraId="4415E411">
            <w:pPr>
              <w:pStyle w:val="3"/>
              <w:spacing w:line="360" w:lineRule="auto"/>
              <w:jc w:val="center"/>
              <w:rPr>
                <w:rFonts w:ascii="华文宋体" w:hAnsi="华文宋体" w:eastAsia="华文宋体"/>
                <w:kern w:val="2"/>
              </w:rPr>
            </w:pPr>
            <w:r>
              <w:rPr>
                <w:rFonts w:hint="eastAsia" w:ascii="华文宋体" w:hAnsi="华文宋体" w:eastAsia="华文宋体"/>
                <w:kern w:val="2"/>
              </w:rPr>
              <w:t>2</w:t>
            </w:r>
            <w:r>
              <w:rPr>
                <w:rFonts w:ascii="华文宋体" w:hAnsi="华文宋体" w:eastAsia="华文宋体"/>
                <w:kern w:val="2"/>
              </w:rPr>
              <w:t>000.00</w:t>
            </w:r>
          </w:p>
        </w:tc>
      </w:tr>
    </w:tbl>
    <w:p w14:paraId="51DDFFF4">
      <w:pPr>
        <w:pStyle w:val="3"/>
        <w:spacing w:line="360" w:lineRule="auto"/>
        <w:rPr>
          <w:rFonts w:ascii="华文宋体" w:hAnsi="华文宋体" w:eastAsia="华文宋体" w:cs="方正仿宋_GBK"/>
          <w:b/>
          <w:sz w:val="21"/>
          <w:szCs w:val="21"/>
        </w:rPr>
      </w:pPr>
      <w:r>
        <w:rPr>
          <w:rFonts w:hint="eastAsia" w:ascii="华文宋体" w:hAnsi="华文宋体" w:eastAsia="华文宋体" w:cs="方正仿宋_GBK"/>
          <w:b/>
          <w:sz w:val="21"/>
          <w:szCs w:val="21"/>
        </w:rPr>
        <w:t>（备注：安徽省外国语言文学学会2026年度会务服务供应商比选项目为2026年</w:t>
      </w:r>
      <w:r>
        <w:rPr>
          <w:rFonts w:hint="eastAsia" w:ascii="华文宋体" w:hAnsi="华文宋体" w:eastAsia="华文宋体" w:cs="方正仿宋_GBK"/>
          <w:b/>
          <w:sz w:val="21"/>
          <w:szCs w:val="21"/>
          <w:lang w:val="en-US" w:eastAsia="zh-CN"/>
        </w:rPr>
        <w:t>下半年</w:t>
      </w:r>
      <w:bookmarkStart w:id="3" w:name="_GoBack"/>
      <w:bookmarkEnd w:id="3"/>
      <w:r>
        <w:rPr>
          <w:rFonts w:hint="eastAsia" w:ascii="华文宋体" w:hAnsi="华文宋体" w:eastAsia="华文宋体" w:cs="方正仿宋_GBK"/>
          <w:b/>
          <w:sz w:val="21"/>
          <w:szCs w:val="21"/>
        </w:rPr>
        <w:t>度会务定点配套服务，所有服务内容均为按需调用、无保底场次、无保底用量。最终费用不按固定总价结算，全部以会议举办当期实际发生的服务内容、服务场次、人员数量、设备使用、用车频次、物料耗材等实际工作量为依据，结合供应商中标响应单价据实汇总结算。所有报价均为含税全包价，包含人工、设备、物料、运维、应急保障、交通、税费等全部成本，无任何隐形收费、加价项目。中标服务商需根据每场会议提供完整服务明细台账，配合采购方核对验收、对账结算，以实际验收合格内容作为最终结算依据。）</w:t>
      </w:r>
    </w:p>
    <w:p w14:paraId="5A7E5081">
      <w:pPr>
        <w:pStyle w:val="3"/>
        <w:spacing w:line="360" w:lineRule="auto"/>
        <w:rPr>
          <w:rFonts w:ascii="华文宋体" w:hAnsi="华文宋体" w:eastAsia="华文宋体" w:cs="方正仿宋_GBK"/>
        </w:rPr>
      </w:pPr>
      <w:r>
        <w:rPr>
          <w:rFonts w:hint="eastAsia" w:ascii="华文宋体" w:hAnsi="华文宋体" w:eastAsia="华文宋体" w:cs="方正仿宋_GBK"/>
          <w:b/>
        </w:rPr>
        <w:t>3</w:t>
      </w:r>
      <w:r>
        <w:rPr>
          <w:rFonts w:ascii="华文宋体" w:hAnsi="华文宋体" w:eastAsia="华文宋体" w:cs="方正仿宋_GBK"/>
          <w:b/>
        </w:rPr>
        <w:t>.</w:t>
      </w:r>
      <w:r>
        <w:rPr>
          <w:rFonts w:hint="eastAsia" w:ascii="华文宋体" w:hAnsi="华文宋体" w:eastAsia="华文宋体" w:cs="方正仿宋_GBK"/>
          <w:b/>
        </w:rPr>
        <w:t>服务期限：</w:t>
      </w:r>
      <w:r>
        <w:rPr>
          <w:rFonts w:hint="eastAsia" w:ascii="华文宋体" w:hAnsi="华文宋体" w:eastAsia="华文宋体" w:cs="方正仿宋_GBK"/>
        </w:rPr>
        <w:t>自合同签订之日起至2</w:t>
      </w:r>
      <w:r>
        <w:rPr>
          <w:rFonts w:ascii="华文宋体" w:hAnsi="华文宋体" w:eastAsia="华文宋体" w:cs="方正仿宋_GBK"/>
        </w:rPr>
        <w:t>026</w:t>
      </w:r>
      <w:r>
        <w:rPr>
          <w:rFonts w:hint="eastAsia" w:ascii="华文宋体" w:hAnsi="华文宋体" w:eastAsia="华文宋体" w:cs="方正仿宋_GBK"/>
        </w:rPr>
        <w:t>年1</w:t>
      </w:r>
      <w:r>
        <w:rPr>
          <w:rFonts w:ascii="华文宋体" w:hAnsi="华文宋体" w:eastAsia="华文宋体" w:cs="方正仿宋_GBK"/>
        </w:rPr>
        <w:t>2</w:t>
      </w:r>
      <w:r>
        <w:rPr>
          <w:rFonts w:hint="eastAsia" w:ascii="华文宋体" w:hAnsi="华文宋体" w:eastAsia="华文宋体" w:cs="方正仿宋_GBK"/>
        </w:rPr>
        <w:t>月3</w:t>
      </w:r>
      <w:r>
        <w:rPr>
          <w:rFonts w:ascii="华文宋体" w:hAnsi="华文宋体" w:eastAsia="华文宋体" w:cs="方正仿宋_GBK"/>
        </w:rPr>
        <w:t>1</w:t>
      </w:r>
      <w:r>
        <w:rPr>
          <w:rFonts w:hint="eastAsia" w:ascii="华文宋体" w:hAnsi="华文宋体" w:eastAsia="华文宋体" w:cs="方正仿宋_GBK"/>
        </w:rPr>
        <w:t>日止。</w:t>
      </w:r>
    </w:p>
    <w:p w14:paraId="4D03ED2E">
      <w:pPr>
        <w:pStyle w:val="3"/>
        <w:spacing w:line="360" w:lineRule="auto"/>
        <w:rPr>
          <w:rFonts w:ascii="华文宋体" w:hAnsi="华文宋体" w:eastAsia="华文宋体" w:cs="方正仿宋_GBK"/>
        </w:rPr>
      </w:pPr>
      <w:r>
        <w:rPr>
          <w:rFonts w:hint="eastAsia" w:ascii="华文宋体" w:hAnsi="华文宋体" w:eastAsia="华文宋体" w:cs="方正仿宋_GBK"/>
          <w:b/>
        </w:rPr>
        <w:t>4</w:t>
      </w:r>
      <w:r>
        <w:rPr>
          <w:rFonts w:ascii="华文宋体" w:hAnsi="华文宋体" w:eastAsia="华文宋体" w:cs="方正仿宋_GBK"/>
          <w:b/>
        </w:rPr>
        <w:t>.</w:t>
      </w:r>
      <w:r>
        <w:rPr>
          <w:rFonts w:hint="eastAsia" w:ascii="华文宋体" w:hAnsi="华文宋体" w:eastAsia="华文宋体" w:cs="方正仿宋_GBK"/>
          <w:b/>
        </w:rPr>
        <w:t>项目结算</w:t>
      </w:r>
      <w:r>
        <w:rPr>
          <w:rFonts w:hint="eastAsia" w:ascii="华文宋体" w:hAnsi="华文宋体" w:eastAsia="华文宋体" w:cs="方正仿宋_GBK"/>
        </w:rPr>
        <w:t>：单项会议结算以实际参会人数及发生内容进行核算，须经过学会采购小组审核确认。</w:t>
      </w:r>
    </w:p>
    <w:p w14:paraId="478F0A00">
      <w:pPr>
        <w:pStyle w:val="3"/>
        <w:spacing w:before="120" w:beforeLines="50" w:line="360" w:lineRule="auto"/>
        <w:rPr>
          <w:rFonts w:ascii="华文宋体" w:hAnsi="华文宋体" w:eastAsia="华文宋体" w:cs="方正仿宋_GBK"/>
          <w:b/>
          <w:sz w:val="28"/>
          <w:szCs w:val="28"/>
        </w:rPr>
      </w:pPr>
      <w:r>
        <w:rPr>
          <w:rFonts w:ascii="华文宋体" w:hAnsi="华文宋体" w:eastAsia="华文宋体" w:cs="方正仿宋_GBK"/>
          <w:b/>
          <w:sz w:val="28"/>
          <w:szCs w:val="28"/>
        </w:rPr>
        <w:t xml:space="preserve"> </w:t>
      </w:r>
      <w:r>
        <w:rPr>
          <w:rFonts w:hint="eastAsia" w:ascii="华文宋体" w:hAnsi="华文宋体" w:eastAsia="华文宋体" w:cs="方正仿宋_GBK"/>
          <w:b/>
          <w:sz w:val="28"/>
          <w:szCs w:val="28"/>
        </w:rPr>
        <w:t>二、供应商资格要求</w:t>
      </w:r>
    </w:p>
    <w:p w14:paraId="68A97237">
      <w:pPr>
        <w:pStyle w:val="3"/>
        <w:spacing w:line="360" w:lineRule="auto"/>
        <w:rPr>
          <w:rFonts w:ascii="华文宋体" w:hAnsi="华文宋体" w:eastAsia="华文宋体" w:cs="方正仿宋_GBK"/>
        </w:rPr>
      </w:pPr>
      <w:r>
        <w:rPr>
          <w:rFonts w:hint="eastAsia" w:ascii="华文宋体" w:hAnsi="华文宋体" w:eastAsia="华文宋体" w:cs="方正仿宋_GBK"/>
        </w:rPr>
        <w:t>1</w:t>
      </w:r>
      <w:r>
        <w:rPr>
          <w:rFonts w:ascii="华文宋体" w:hAnsi="华文宋体" w:eastAsia="华文宋体" w:cs="方正仿宋_GBK"/>
        </w:rPr>
        <w:t>.</w:t>
      </w:r>
      <w:r>
        <w:rPr>
          <w:rFonts w:hint="eastAsia" w:ascii="华文宋体" w:hAnsi="华文宋体" w:eastAsia="华文宋体" w:cs="方正仿宋_GBK"/>
        </w:rPr>
        <w:t>在中华人民共和国境内注册，具有独立承担民事责任能力的法人或其他组织，提供有效的营业执照复印件。</w:t>
      </w:r>
    </w:p>
    <w:p w14:paraId="2B3DA548">
      <w:pPr>
        <w:pStyle w:val="3"/>
        <w:spacing w:line="360" w:lineRule="auto"/>
        <w:rPr>
          <w:rFonts w:ascii="华文宋体" w:hAnsi="华文宋体" w:eastAsia="华文宋体" w:cs="方正仿宋_GBK"/>
        </w:rPr>
      </w:pPr>
      <w:r>
        <w:rPr>
          <w:rFonts w:hint="eastAsia" w:ascii="华文宋体" w:hAnsi="华文宋体" w:eastAsia="华文宋体" w:cs="方正仿宋_GBK"/>
        </w:rPr>
        <w:t>2</w:t>
      </w:r>
      <w:r>
        <w:rPr>
          <w:rFonts w:ascii="华文宋体" w:hAnsi="华文宋体" w:eastAsia="华文宋体" w:cs="方正仿宋_GBK"/>
        </w:rPr>
        <w:t>.</w:t>
      </w:r>
      <w:r>
        <w:rPr>
          <w:rFonts w:hint="eastAsia" w:ascii="华文宋体" w:hAnsi="华文宋体" w:eastAsia="华文宋体" w:cs="方正仿宋_GBK"/>
        </w:rPr>
        <w:t>具有良好的商业信誉和健全的财务会计制度。</w:t>
      </w:r>
    </w:p>
    <w:p w14:paraId="68C17B09">
      <w:pPr>
        <w:pStyle w:val="3"/>
        <w:spacing w:line="360" w:lineRule="auto"/>
        <w:rPr>
          <w:rFonts w:ascii="华文宋体" w:hAnsi="华文宋体" w:eastAsia="华文宋体" w:cs="方正仿宋_GBK"/>
        </w:rPr>
      </w:pPr>
      <w:r>
        <w:rPr>
          <w:rFonts w:hint="eastAsia" w:ascii="华文宋体" w:hAnsi="华文宋体" w:eastAsia="华文宋体" w:cs="方正仿宋_GBK"/>
        </w:rPr>
        <w:t>3</w:t>
      </w:r>
      <w:r>
        <w:rPr>
          <w:rFonts w:ascii="华文宋体" w:hAnsi="华文宋体" w:eastAsia="华文宋体" w:cs="方正仿宋_GBK"/>
        </w:rPr>
        <w:t>.</w:t>
      </w:r>
      <w:r>
        <w:rPr>
          <w:rFonts w:hint="eastAsia" w:ascii="华文宋体" w:hAnsi="华文宋体" w:eastAsia="华文宋体" w:cs="方正仿宋_GBK"/>
        </w:rPr>
        <w:t>具有履行合同所必需的设备和专业技术能力。</w:t>
      </w:r>
    </w:p>
    <w:p w14:paraId="4AE8BB0B">
      <w:pPr>
        <w:pStyle w:val="3"/>
        <w:spacing w:line="360" w:lineRule="auto"/>
        <w:rPr>
          <w:rFonts w:ascii="华文宋体" w:hAnsi="华文宋体" w:eastAsia="华文宋体" w:cs="方正仿宋_GBK"/>
        </w:rPr>
      </w:pPr>
      <w:r>
        <w:rPr>
          <w:rFonts w:hint="eastAsia" w:ascii="华文宋体" w:hAnsi="华文宋体" w:eastAsia="华文宋体" w:cs="方正仿宋_GBK"/>
        </w:rPr>
        <w:t>4</w:t>
      </w:r>
      <w:r>
        <w:rPr>
          <w:rFonts w:ascii="华文宋体" w:hAnsi="华文宋体" w:eastAsia="华文宋体" w:cs="方正仿宋_GBK"/>
        </w:rPr>
        <w:t>.</w:t>
      </w:r>
      <w:r>
        <w:rPr>
          <w:rFonts w:hint="eastAsia" w:ascii="华文宋体" w:hAnsi="华文宋体" w:eastAsia="华文宋体" w:cs="方正仿宋_GBK"/>
        </w:rPr>
        <w:t>有依法缴纳税收和社会保障资金的良好记录。</w:t>
      </w:r>
    </w:p>
    <w:p w14:paraId="524AA27D">
      <w:pPr>
        <w:pStyle w:val="3"/>
        <w:spacing w:line="360" w:lineRule="auto"/>
        <w:rPr>
          <w:rFonts w:ascii="华文宋体" w:hAnsi="华文宋体" w:eastAsia="华文宋体" w:cs="方正仿宋_GBK"/>
        </w:rPr>
      </w:pPr>
      <w:r>
        <w:rPr>
          <w:rFonts w:hint="eastAsia" w:ascii="华文宋体" w:hAnsi="华文宋体" w:eastAsia="华文宋体" w:cs="方正仿宋_GBK"/>
        </w:rPr>
        <w:t>5</w:t>
      </w:r>
      <w:r>
        <w:rPr>
          <w:rFonts w:ascii="华文宋体" w:hAnsi="华文宋体" w:eastAsia="华文宋体" w:cs="方正仿宋_GBK"/>
        </w:rPr>
        <w:t>.</w:t>
      </w:r>
      <w:r>
        <w:rPr>
          <w:rFonts w:hint="eastAsia" w:ascii="华文宋体" w:hAnsi="华文宋体" w:eastAsia="华文宋体" w:cs="方正仿宋_GBK"/>
        </w:rPr>
        <w:t>参加采购活动前三年内，在经营活动中没有重大违法记录；未被“信用中国”网站列入失信被执行人、重大税收违法案件当事人名单。</w:t>
      </w:r>
    </w:p>
    <w:p w14:paraId="0E6EF2D0">
      <w:pPr>
        <w:pStyle w:val="3"/>
        <w:spacing w:line="360" w:lineRule="auto"/>
        <w:rPr>
          <w:rFonts w:ascii="华文宋体" w:hAnsi="华文宋体" w:eastAsia="华文宋体" w:cs="方正仿宋_GBK"/>
        </w:rPr>
      </w:pPr>
      <w:r>
        <w:rPr>
          <w:rFonts w:hint="eastAsia" w:ascii="华文宋体" w:hAnsi="华文宋体" w:eastAsia="华文宋体" w:cs="方正仿宋_GBK"/>
        </w:rPr>
        <w:t>6</w:t>
      </w:r>
      <w:r>
        <w:rPr>
          <w:rFonts w:ascii="华文宋体" w:hAnsi="华文宋体" w:eastAsia="华文宋体" w:cs="方正仿宋_GBK"/>
        </w:rPr>
        <w:t>.</w:t>
      </w:r>
      <w:r>
        <w:rPr>
          <w:rFonts w:hint="eastAsia" w:ascii="华文宋体" w:hAnsi="华文宋体" w:eastAsia="华文宋体" w:cs="方正仿宋_GBK"/>
        </w:rPr>
        <w:t>本项目不接受联合体投标。</w:t>
      </w:r>
    </w:p>
    <w:p w14:paraId="755EA248">
      <w:pPr>
        <w:pStyle w:val="3"/>
        <w:spacing w:before="120" w:beforeLines="50" w:line="360" w:lineRule="auto"/>
        <w:rPr>
          <w:rFonts w:ascii="华文宋体" w:hAnsi="华文宋体" w:eastAsia="华文宋体" w:cs="方正仿宋_GBK"/>
          <w:b/>
          <w:sz w:val="28"/>
          <w:szCs w:val="28"/>
        </w:rPr>
      </w:pPr>
      <w:r>
        <w:rPr>
          <w:rFonts w:hint="eastAsia" w:ascii="华文宋体" w:hAnsi="华文宋体" w:eastAsia="华文宋体" w:cs="方正仿宋_GBK"/>
          <w:b/>
          <w:sz w:val="28"/>
          <w:szCs w:val="28"/>
        </w:rPr>
        <w:t>三、服务要求</w:t>
      </w:r>
    </w:p>
    <w:p w14:paraId="17145C3E">
      <w:pPr>
        <w:pStyle w:val="3"/>
        <w:spacing w:line="360" w:lineRule="auto"/>
        <w:rPr>
          <w:rFonts w:ascii="华文宋体" w:hAnsi="华文宋体" w:eastAsia="华文宋体" w:cs="方正仿宋_GBK"/>
        </w:rPr>
      </w:pPr>
      <w:r>
        <w:rPr>
          <w:rFonts w:hint="eastAsia" w:ascii="华文宋体" w:hAnsi="华文宋体" w:eastAsia="华文宋体" w:cs="方正仿宋_GBK"/>
        </w:rPr>
        <w:t>1.宾馆及会场选定： 提供符合会议规模及预算的场地方案，会场需配备必要的音响、投影、LED屏等多媒体设备，确保运行正常。</w:t>
      </w:r>
    </w:p>
    <w:p w14:paraId="70B80533">
      <w:pPr>
        <w:pStyle w:val="3"/>
        <w:spacing w:line="360" w:lineRule="auto"/>
        <w:rPr>
          <w:rFonts w:ascii="华文宋体" w:hAnsi="华文宋体" w:eastAsia="华文宋体" w:cs="方正仿宋_GBK"/>
        </w:rPr>
      </w:pPr>
      <w:r>
        <w:rPr>
          <w:rFonts w:hint="eastAsia" w:ascii="华文宋体" w:hAnsi="华文宋体" w:eastAsia="华文宋体" w:cs="方正仿宋_GBK"/>
        </w:rPr>
        <w:t>2.餐饮住宿安排： 住宿酒店预订，餐饮需提供自助早餐及正餐，需考虑少数民族及特殊饮食需求，确保食品安全。</w:t>
      </w:r>
    </w:p>
    <w:p w14:paraId="5D97E46D">
      <w:pPr>
        <w:pStyle w:val="3"/>
        <w:spacing w:line="360" w:lineRule="auto"/>
        <w:rPr>
          <w:rFonts w:ascii="华文宋体" w:hAnsi="华文宋体" w:eastAsia="华文宋体" w:cs="方正仿宋_GBK"/>
        </w:rPr>
      </w:pPr>
      <w:r>
        <w:rPr>
          <w:rFonts w:hint="eastAsia" w:ascii="华文宋体" w:hAnsi="华文宋体" w:eastAsia="华文宋体" w:cs="方正仿宋_GBK"/>
        </w:rPr>
        <w:t>3.会议材料准备：需根据参会人数准备相应会议材料的设计制作（包含但不限于会议手册、会议用笔、会议席卡、会议桁架、PPT背景、易拉宝展示等）。</w:t>
      </w:r>
    </w:p>
    <w:p w14:paraId="5B13CEC3">
      <w:pPr>
        <w:pStyle w:val="3"/>
        <w:spacing w:line="360" w:lineRule="auto"/>
        <w:rPr>
          <w:rFonts w:ascii="华文宋体" w:hAnsi="华文宋体" w:eastAsia="华文宋体" w:cs="方正仿宋_GBK"/>
        </w:rPr>
      </w:pPr>
      <w:r>
        <w:rPr>
          <w:rFonts w:hint="eastAsia" w:ascii="华文宋体" w:hAnsi="华文宋体" w:eastAsia="华文宋体" w:cs="方正仿宋_GBK"/>
        </w:rPr>
        <w:t>4.参会人员接待： 设立专属接待台，提供签到、资料发放、咨询引导等服务，安排专职会务人员全程跟进。</w:t>
      </w:r>
    </w:p>
    <w:p w14:paraId="4F21AC59">
      <w:pPr>
        <w:pStyle w:val="3"/>
        <w:spacing w:line="360" w:lineRule="auto"/>
        <w:rPr>
          <w:rFonts w:ascii="华文宋体" w:hAnsi="华文宋体" w:eastAsia="华文宋体" w:cs="方正仿宋_GBK"/>
        </w:rPr>
      </w:pPr>
      <w:r>
        <w:rPr>
          <w:rFonts w:hint="eastAsia" w:ascii="华文宋体" w:hAnsi="华文宋体" w:eastAsia="华文宋体" w:cs="方正仿宋_GBK"/>
        </w:rPr>
        <w:t>5.会议录像与摄影： 提供专业摄影摄像团队，负责会议全程录像及照片直播/后期精修，会后7个工作日内交付完整影像资料。</w:t>
      </w:r>
    </w:p>
    <w:p w14:paraId="23A12618">
      <w:pPr>
        <w:pStyle w:val="3"/>
        <w:spacing w:line="360" w:lineRule="auto"/>
        <w:rPr>
          <w:rFonts w:ascii="华文宋体" w:hAnsi="华文宋体" w:eastAsia="华文宋体" w:cs="方正仿宋_GBK"/>
        </w:rPr>
      </w:pPr>
      <w:r>
        <w:rPr>
          <w:rFonts w:hint="eastAsia" w:ascii="华文宋体" w:hAnsi="华文宋体" w:eastAsia="华文宋体" w:cs="方正仿宋_GBK"/>
        </w:rPr>
        <w:t>6.会议用车：（1）专家接送站： 根据专家行程，安排专车及专人接送机/站，确保行程顺畅、安全；（2）与会代表摆渡大巴：根据会议规模安排住宿酒店至会场的摆渡大巴用车，确保与会代表安全、准时参加相关会议。</w:t>
      </w:r>
    </w:p>
    <w:p w14:paraId="5BE2BC70">
      <w:pPr>
        <w:pStyle w:val="3"/>
        <w:spacing w:line="360" w:lineRule="auto"/>
        <w:rPr>
          <w:rFonts w:ascii="华文宋体" w:hAnsi="华文宋体" w:eastAsia="华文宋体" w:cs="方正仿宋_GBK"/>
        </w:rPr>
      </w:pPr>
      <w:r>
        <w:rPr>
          <w:rFonts w:hint="eastAsia" w:ascii="华文宋体" w:hAnsi="华文宋体" w:eastAsia="华文宋体" w:cs="方正仿宋_GBK"/>
        </w:rPr>
        <w:t>7.人员配备要求：供应商须为本项目配备专职服务保障团队，统筹会务工作；配备接待、影像、财务等专职服务人员，确保服务团队稳定、专业。</w:t>
      </w:r>
    </w:p>
    <w:p w14:paraId="23E22E4B">
      <w:pPr>
        <w:pStyle w:val="3"/>
        <w:spacing w:line="360" w:lineRule="auto"/>
        <w:rPr>
          <w:rFonts w:ascii="华文宋体" w:hAnsi="华文宋体" w:eastAsia="华文宋体" w:cs="方正仿宋_GBK"/>
        </w:rPr>
      </w:pPr>
      <w:r>
        <w:rPr>
          <w:rFonts w:hint="eastAsia" w:ascii="华文宋体" w:hAnsi="华文宋体" w:eastAsia="华文宋体" w:cs="方正仿宋_GBK"/>
        </w:rPr>
        <w:t>8.应急保障要求：供应商须制定完善的应急预案，包括但不限于突发医疗状况、设备故障、恶劣天气、人员变动等情况的应对措施，确保会议顺利进行。</w:t>
      </w:r>
    </w:p>
    <w:p w14:paraId="38B9C9A1">
      <w:pPr>
        <w:pStyle w:val="3"/>
        <w:spacing w:before="120" w:beforeLines="50" w:line="360" w:lineRule="auto"/>
        <w:rPr>
          <w:rFonts w:ascii="华文宋体" w:hAnsi="华文宋体" w:eastAsia="华文宋体" w:cs="方正仿宋_GBK"/>
          <w:b/>
          <w:sz w:val="28"/>
          <w:szCs w:val="28"/>
        </w:rPr>
      </w:pPr>
      <w:r>
        <w:rPr>
          <w:rFonts w:hint="eastAsia" w:ascii="华文宋体" w:hAnsi="华文宋体" w:eastAsia="华文宋体" w:cs="方正仿宋_GBK"/>
          <w:b/>
          <w:sz w:val="28"/>
          <w:szCs w:val="28"/>
        </w:rPr>
        <w:t>四、投标报价要求</w:t>
      </w:r>
    </w:p>
    <w:p w14:paraId="40E772F5">
      <w:pPr>
        <w:pStyle w:val="3"/>
        <w:spacing w:line="360" w:lineRule="auto"/>
        <w:rPr>
          <w:rFonts w:ascii="华文宋体" w:hAnsi="华文宋体" w:eastAsia="华文宋体" w:cs="方正仿宋_GBK"/>
        </w:rPr>
      </w:pPr>
      <w:r>
        <w:rPr>
          <w:rFonts w:hint="eastAsia" w:ascii="华文宋体" w:hAnsi="华文宋体" w:eastAsia="华文宋体" w:cs="方正仿宋_GBK"/>
          <w:b/>
        </w:rPr>
        <w:t>1</w:t>
      </w:r>
      <w:r>
        <w:rPr>
          <w:rFonts w:ascii="华文宋体" w:hAnsi="华文宋体" w:eastAsia="华文宋体" w:cs="方正仿宋_GBK"/>
          <w:b/>
        </w:rPr>
        <w:t>.</w:t>
      </w:r>
      <w:r>
        <w:rPr>
          <w:rFonts w:hint="eastAsia" w:ascii="华文宋体" w:hAnsi="华文宋体" w:eastAsia="华文宋体" w:cs="方正仿宋_GBK"/>
          <w:b/>
        </w:rPr>
        <w:t>提交时间：</w:t>
      </w:r>
      <w:r>
        <w:rPr>
          <w:rFonts w:hint="eastAsia" w:ascii="华文宋体" w:hAnsi="华文宋体" w:eastAsia="华文宋体" w:cs="方正仿宋_GBK"/>
        </w:rPr>
        <w:t>潜在投标人需在</w:t>
      </w:r>
      <w:r>
        <w:rPr>
          <w:rFonts w:hint="eastAsia" w:ascii="华文宋体" w:hAnsi="华文宋体" w:eastAsia="华文宋体" w:cs="方正仿宋_GBK"/>
          <w:b/>
        </w:rPr>
        <w:t>2</w:t>
      </w:r>
      <w:r>
        <w:rPr>
          <w:rFonts w:ascii="华文宋体" w:hAnsi="华文宋体" w:eastAsia="华文宋体" w:cs="方正仿宋_GBK"/>
          <w:b/>
        </w:rPr>
        <w:t>026</w:t>
      </w:r>
      <w:r>
        <w:rPr>
          <w:rFonts w:hint="eastAsia" w:ascii="华文宋体" w:hAnsi="华文宋体" w:eastAsia="华文宋体" w:cs="方正仿宋_GBK"/>
          <w:b/>
        </w:rPr>
        <w:t>年8月2</w:t>
      </w:r>
      <w:r>
        <w:rPr>
          <w:rFonts w:ascii="华文宋体" w:hAnsi="华文宋体" w:eastAsia="华文宋体" w:cs="方正仿宋_GBK"/>
          <w:b/>
        </w:rPr>
        <w:t>8</w:t>
      </w:r>
      <w:r>
        <w:rPr>
          <w:rFonts w:hint="eastAsia" w:ascii="华文宋体" w:hAnsi="华文宋体" w:eastAsia="华文宋体" w:cs="方正仿宋_GBK"/>
          <w:b/>
        </w:rPr>
        <w:t>日1</w:t>
      </w:r>
      <w:r>
        <w:rPr>
          <w:rFonts w:ascii="华文宋体" w:hAnsi="华文宋体" w:eastAsia="华文宋体" w:cs="方正仿宋_GBK"/>
          <w:b/>
        </w:rPr>
        <w:t>7</w:t>
      </w:r>
      <w:r>
        <w:rPr>
          <w:rFonts w:hint="eastAsia" w:ascii="华文宋体" w:hAnsi="华文宋体" w:eastAsia="华文宋体" w:cs="方正仿宋_GBK"/>
          <w:b/>
        </w:rPr>
        <w:t>:0</w:t>
      </w:r>
      <w:r>
        <w:rPr>
          <w:rFonts w:ascii="华文宋体" w:hAnsi="华文宋体" w:eastAsia="华文宋体" w:cs="方正仿宋_GBK"/>
          <w:b/>
        </w:rPr>
        <w:t>0</w:t>
      </w:r>
      <w:r>
        <w:rPr>
          <w:rFonts w:hint="eastAsia" w:ascii="华文宋体" w:hAnsi="华文宋体" w:eastAsia="华文宋体" w:cs="方正仿宋_GBK"/>
          <w:b/>
        </w:rPr>
        <w:t>（北京时间）</w:t>
      </w:r>
      <w:r>
        <w:rPr>
          <w:rFonts w:hint="eastAsia" w:ascii="华文宋体" w:hAnsi="华文宋体" w:eastAsia="华文宋体" w:cs="方正仿宋_GBK"/>
        </w:rPr>
        <w:t>前将盖有公章的P</w:t>
      </w:r>
      <w:r>
        <w:rPr>
          <w:rFonts w:ascii="华文宋体" w:hAnsi="华文宋体" w:eastAsia="华文宋体" w:cs="方正仿宋_GBK"/>
        </w:rPr>
        <w:t>DF</w:t>
      </w:r>
      <w:r>
        <w:rPr>
          <w:rFonts w:hint="eastAsia" w:ascii="华文宋体" w:hAnsi="华文宋体" w:eastAsia="华文宋体" w:cs="方正仿宋_GBK"/>
        </w:rPr>
        <w:t>报价响应文件发送至邮箱：</w:t>
      </w:r>
      <w:r>
        <w:rPr>
          <w:rFonts w:ascii="华文宋体" w:hAnsi="华文宋体" w:eastAsia="华文宋体" w:cs="方正仿宋_GBK"/>
          <w:b/>
          <w:u w:val="single"/>
        </w:rPr>
        <w:t>270283590@qq.com</w:t>
      </w:r>
      <w:r>
        <w:rPr>
          <w:rFonts w:hint="eastAsia" w:ascii="华文宋体" w:hAnsi="华文宋体" w:eastAsia="华文宋体" w:cs="方正仿宋_GBK"/>
        </w:rPr>
        <w:t>，请备注“</w:t>
      </w:r>
      <w:r>
        <w:rPr>
          <w:rFonts w:hint="eastAsia" w:ascii="华文宋体" w:hAnsi="华文宋体" w:eastAsia="华文宋体" w:cs="方正仿宋_GBK"/>
          <w:u w:val="single"/>
        </w:rPr>
        <w:t>某某公司报价响应文件+项目名称</w:t>
      </w:r>
      <w:r>
        <w:rPr>
          <w:rFonts w:hint="eastAsia" w:ascii="华文宋体" w:hAnsi="华文宋体" w:eastAsia="华文宋体" w:cs="方正仿宋_GBK"/>
        </w:rPr>
        <w:t>”。逾期发送的响应文件将予以拒收。</w:t>
      </w:r>
    </w:p>
    <w:p w14:paraId="6C4BD535">
      <w:pPr>
        <w:pStyle w:val="3"/>
        <w:spacing w:line="360" w:lineRule="auto"/>
        <w:rPr>
          <w:rFonts w:ascii="华文宋体" w:hAnsi="华文宋体" w:eastAsia="华文宋体" w:cs="方正仿宋_GBK"/>
          <w:highlight w:val="yellow"/>
        </w:rPr>
      </w:pPr>
      <w:r>
        <w:rPr>
          <w:rFonts w:hint="eastAsia" w:ascii="华文宋体" w:hAnsi="华文宋体" w:eastAsia="华文宋体" w:cs="方正仿宋_GBK"/>
          <w:b/>
        </w:rPr>
        <w:t>2</w:t>
      </w:r>
      <w:r>
        <w:rPr>
          <w:rFonts w:ascii="华文宋体" w:hAnsi="华文宋体" w:eastAsia="华文宋体" w:cs="方正仿宋_GBK"/>
          <w:b/>
        </w:rPr>
        <w:t>.</w:t>
      </w:r>
      <w:r>
        <w:rPr>
          <w:rFonts w:hint="eastAsia" w:ascii="华文宋体" w:hAnsi="华文宋体" w:eastAsia="华文宋体" w:cs="方正仿宋_GBK"/>
          <w:b/>
        </w:rPr>
        <w:t>报价要求</w:t>
      </w:r>
      <w:r>
        <w:rPr>
          <w:rFonts w:hint="eastAsia" w:ascii="华文宋体" w:hAnsi="华文宋体" w:eastAsia="华文宋体" w:cs="方正仿宋_GBK"/>
        </w:rPr>
        <w:t>：投标人报价应包含完成会务服务项目所需的人工费、物料费、设备租赁费、交通费、利润及税金等所有费用。采购人将不再为报价清单之外的服务支付费用。</w:t>
      </w:r>
    </w:p>
    <w:p w14:paraId="786D99E9">
      <w:pPr>
        <w:pStyle w:val="3"/>
        <w:spacing w:line="360" w:lineRule="auto"/>
        <w:rPr>
          <w:rFonts w:ascii="华文宋体" w:hAnsi="华文宋体" w:eastAsia="华文宋体" w:cs="方正仿宋_GBK"/>
        </w:rPr>
      </w:pPr>
      <w:r>
        <w:rPr>
          <w:rFonts w:hint="eastAsia" w:ascii="华文宋体" w:hAnsi="华文宋体" w:eastAsia="华文宋体" w:cs="方正仿宋_GBK"/>
          <w:b/>
        </w:rPr>
        <w:t>3</w:t>
      </w:r>
      <w:r>
        <w:rPr>
          <w:rFonts w:ascii="华文宋体" w:hAnsi="华文宋体" w:eastAsia="华文宋体" w:cs="方正仿宋_GBK"/>
          <w:b/>
        </w:rPr>
        <w:t>.</w:t>
      </w:r>
      <w:r>
        <w:rPr>
          <w:rFonts w:hint="eastAsia" w:ascii="华文宋体" w:hAnsi="华文宋体" w:eastAsia="华文宋体" w:cs="方正仿宋_GBK"/>
          <w:b/>
        </w:rPr>
        <w:t>投标响应文件组成：</w:t>
      </w:r>
      <w:r>
        <w:rPr>
          <w:rFonts w:hint="eastAsia" w:ascii="华文宋体" w:hAnsi="华文宋体" w:eastAsia="华文宋体" w:cs="方正仿宋_GBK"/>
        </w:rPr>
        <w:t>潜在报价供应商须按以下顺序编制投标响应文件，并加盖投标单位公章：①投标授权书；②报价响应表；③投标人资格证明材料：营业执照复印件、具有良好的商业信誉和健全的财务会计制度（提供相关证明材料或承诺函）、依法缴纳税收和社会保障资金的良好记录（提供相关证明材料或承诺函）、具有履行合同所必需的设备和专业技术能力（提供相关证明材料或承诺函）、近3年内在经营活动中没有重大违法记录的书面声明等；④会务服务实施方案、质量保证及服务承诺；⑤投标人类似会务服务业绩证明材料；⑥投标人认为需要提交的其他证明材料。</w:t>
      </w:r>
    </w:p>
    <w:p w14:paraId="2F9F6510">
      <w:pPr>
        <w:pStyle w:val="3"/>
        <w:spacing w:line="360" w:lineRule="auto"/>
        <w:rPr>
          <w:rFonts w:ascii="华文宋体" w:hAnsi="华文宋体" w:eastAsia="华文宋体" w:cs="方正仿宋_GBK"/>
        </w:rPr>
      </w:pPr>
      <w:r>
        <w:rPr>
          <w:rFonts w:hint="eastAsia" w:ascii="华文宋体" w:hAnsi="华文宋体" w:eastAsia="华文宋体" w:cs="方正仿宋_GBK"/>
          <w:b/>
          <w:bCs/>
        </w:rPr>
        <w:t>4．联系方式：</w:t>
      </w:r>
      <w:r>
        <w:rPr>
          <w:rFonts w:hint="eastAsia" w:ascii="华文宋体" w:hAnsi="华文宋体" w:eastAsia="华文宋体" w:cs="方正仿宋_GBK"/>
        </w:rPr>
        <w:t xml:space="preserve">曹老师 </w:t>
      </w:r>
      <w:r>
        <w:rPr>
          <w:rFonts w:ascii="华文宋体" w:hAnsi="华文宋体" w:eastAsia="华文宋体" w:cs="方正仿宋_GBK"/>
        </w:rPr>
        <w:t xml:space="preserve">  </w:t>
      </w:r>
      <w:r>
        <w:rPr>
          <w:rFonts w:hint="eastAsia" w:ascii="华文宋体" w:hAnsi="华文宋体" w:eastAsia="华文宋体" w:cs="方正仿宋_GBK"/>
        </w:rPr>
        <w:t>电话：1</w:t>
      </w:r>
      <w:r>
        <w:rPr>
          <w:rFonts w:ascii="华文宋体" w:hAnsi="华文宋体" w:eastAsia="华文宋体" w:cs="方正仿宋_GBK"/>
        </w:rPr>
        <w:t>3955117956</w:t>
      </w:r>
      <w:r>
        <w:rPr>
          <w:rFonts w:hint="eastAsia" w:ascii="华文宋体" w:hAnsi="华文宋体" w:eastAsia="华文宋体" w:cs="方正仿宋_GBK"/>
        </w:rPr>
        <w:t xml:space="preserve"> </w:t>
      </w:r>
      <w:r>
        <w:rPr>
          <w:rFonts w:ascii="华文宋体" w:hAnsi="华文宋体" w:eastAsia="华文宋体" w:cs="方正仿宋_GBK"/>
        </w:rPr>
        <w:t xml:space="preserve">    </w:t>
      </w:r>
      <w:r>
        <w:rPr>
          <w:rFonts w:hint="eastAsia" w:ascii="华文宋体" w:hAnsi="华文宋体" w:eastAsia="华文宋体" w:cs="方正仿宋_GBK"/>
        </w:rPr>
        <w:t>邮箱：2</w:t>
      </w:r>
      <w:r>
        <w:rPr>
          <w:rFonts w:ascii="华文宋体" w:hAnsi="华文宋体" w:eastAsia="华文宋体" w:cs="方正仿宋_GBK"/>
        </w:rPr>
        <w:t>70283590@qq.com</w:t>
      </w:r>
    </w:p>
    <w:bookmarkEnd w:id="1"/>
    <w:p w14:paraId="045E5EF7">
      <w:pPr>
        <w:pStyle w:val="3"/>
        <w:spacing w:line="360" w:lineRule="auto"/>
        <w:rPr>
          <w:rFonts w:ascii="华文宋体" w:hAnsi="华文宋体" w:eastAsia="华文宋体" w:cs="方正仿宋_GBK"/>
        </w:rPr>
      </w:pPr>
      <w:bookmarkStart w:id="2" w:name="第二部分-供应商须知"/>
      <w:r>
        <w:rPr>
          <w:rFonts w:hint="eastAsia" w:ascii="华文宋体" w:hAnsi="华文宋体" w:eastAsia="华文宋体" w:cs="方正仿宋_GBK"/>
          <w:b/>
          <w:sz w:val="28"/>
          <w:szCs w:val="28"/>
        </w:rPr>
        <w:t>五、项目评审办法</w:t>
      </w:r>
      <w:r>
        <w:rPr>
          <w:rFonts w:hint="eastAsia" w:ascii="华文宋体" w:hAnsi="华文宋体" w:eastAsia="华文宋体" w:cs="方正仿宋_GBK"/>
        </w:rPr>
        <w:br w:type="textWrapping"/>
      </w:r>
      <w:r>
        <w:rPr>
          <w:rFonts w:hint="eastAsia" w:ascii="华文宋体" w:hAnsi="华文宋体" w:eastAsia="华文宋体" w:cs="方正仿宋_GBK"/>
        </w:rPr>
        <w:t>本项目采用综合评分法。采购小组将根据服务方案、业绩案例、供应商资质及投标报价等因素进行综合评审，推荐综合得分最高的供应商为中选候选人。</w:t>
      </w:r>
    </w:p>
    <w:tbl>
      <w:tblPr>
        <w:tblStyle w:val="20"/>
        <w:tblW w:w="52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6234"/>
        <w:gridCol w:w="1155"/>
      </w:tblGrid>
      <w:tr w14:paraId="233C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5" w:type="pct"/>
            <w:tcBorders>
              <w:top w:val="single" w:color="auto" w:sz="4" w:space="0"/>
              <w:left w:val="single" w:color="auto" w:sz="4" w:space="0"/>
              <w:bottom w:val="single" w:color="auto" w:sz="4" w:space="0"/>
              <w:right w:val="single" w:color="auto" w:sz="4" w:space="0"/>
            </w:tcBorders>
            <w:vAlign w:val="center"/>
          </w:tcPr>
          <w:p w14:paraId="241AB2DB">
            <w:pPr>
              <w:widowControl w:val="0"/>
              <w:jc w:val="center"/>
              <w:rPr>
                <w:rFonts w:ascii="华文宋体" w:hAnsi="华文宋体" w:eastAsia="华文宋体" w:cs="宋体"/>
                <w:b/>
                <w:bCs/>
                <w:kern w:val="2"/>
              </w:rPr>
            </w:pPr>
            <w:r>
              <w:rPr>
                <w:rFonts w:hint="eastAsia" w:ascii="华文宋体" w:hAnsi="华文宋体" w:eastAsia="华文宋体" w:cs="宋体"/>
                <w:b/>
                <w:bCs/>
                <w:kern w:val="2"/>
              </w:rPr>
              <w:t>评分内容</w:t>
            </w:r>
          </w:p>
        </w:tc>
        <w:tc>
          <w:tcPr>
            <w:tcW w:w="3379" w:type="pct"/>
            <w:tcBorders>
              <w:top w:val="single" w:color="auto" w:sz="4" w:space="0"/>
              <w:left w:val="single" w:color="auto" w:sz="4" w:space="0"/>
              <w:bottom w:val="single" w:color="auto" w:sz="4" w:space="0"/>
              <w:right w:val="single" w:color="auto" w:sz="4" w:space="0"/>
            </w:tcBorders>
            <w:vAlign w:val="center"/>
          </w:tcPr>
          <w:p w14:paraId="7A40BF2A">
            <w:pPr>
              <w:widowControl w:val="0"/>
              <w:jc w:val="center"/>
              <w:rPr>
                <w:rFonts w:ascii="华文宋体" w:hAnsi="华文宋体" w:eastAsia="华文宋体" w:cs="宋体"/>
                <w:b/>
                <w:bCs/>
                <w:kern w:val="2"/>
              </w:rPr>
            </w:pPr>
            <w:r>
              <w:rPr>
                <w:rFonts w:hint="eastAsia" w:ascii="华文宋体" w:hAnsi="华文宋体" w:eastAsia="华文宋体" w:cs="宋体"/>
                <w:b/>
                <w:bCs/>
                <w:kern w:val="2"/>
              </w:rPr>
              <w:t>评分标准</w:t>
            </w:r>
          </w:p>
        </w:tc>
        <w:tc>
          <w:tcPr>
            <w:tcW w:w="626" w:type="pct"/>
            <w:tcBorders>
              <w:top w:val="single" w:color="auto" w:sz="4" w:space="0"/>
              <w:left w:val="single" w:color="auto" w:sz="4" w:space="0"/>
              <w:bottom w:val="single" w:color="auto" w:sz="4" w:space="0"/>
              <w:right w:val="single" w:color="auto" w:sz="4" w:space="0"/>
            </w:tcBorders>
            <w:vAlign w:val="center"/>
          </w:tcPr>
          <w:p w14:paraId="7BD9FA34">
            <w:pPr>
              <w:widowControl w:val="0"/>
              <w:jc w:val="center"/>
              <w:rPr>
                <w:rFonts w:ascii="华文宋体" w:hAnsi="华文宋体" w:eastAsia="华文宋体" w:cs="宋体"/>
                <w:b/>
                <w:bCs/>
                <w:kern w:val="2"/>
              </w:rPr>
            </w:pPr>
            <w:r>
              <w:rPr>
                <w:rFonts w:hint="eastAsia" w:ascii="华文宋体" w:hAnsi="华文宋体" w:eastAsia="华文宋体" w:cs="宋体"/>
                <w:b/>
                <w:bCs/>
                <w:kern w:val="2"/>
              </w:rPr>
              <w:t>分值范围</w:t>
            </w:r>
          </w:p>
        </w:tc>
      </w:tr>
      <w:tr w14:paraId="4F63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995" w:type="pct"/>
            <w:vMerge w:val="restart"/>
            <w:tcBorders>
              <w:top w:val="single" w:color="auto" w:sz="4" w:space="0"/>
              <w:left w:val="single" w:color="auto" w:sz="4" w:space="0"/>
              <w:right w:val="single" w:color="auto" w:sz="4" w:space="0"/>
            </w:tcBorders>
            <w:vAlign w:val="center"/>
          </w:tcPr>
          <w:p w14:paraId="3DD5DFDC">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服务方案</w:t>
            </w:r>
          </w:p>
          <w:p w14:paraId="47E502A3">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（满分4</w:t>
            </w:r>
            <w:r>
              <w:rPr>
                <w:rFonts w:ascii="华文宋体" w:hAnsi="华文宋体" w:eastAsia="华文宋体" w:cs="宋体"/>
                <w:kern w:val="2"/>
              </w:rPr>
              <w:t>0</w:t>
            </w:r>
            <w:r>
              <w:rPr>
                <w:rFonts w:hint="eastAsia" w:ascii="华文宋体" w:hAnsi="华文宋体" w:eastAsia="华文宋体" w:cs="宋体"/>
                <w:kern w:val="2"/>
              </w:rPr>
              <w:t>分）</w:t>
            </w:r>
          </w:p>
        </w:tc>
        <w:tc>
          <w:tcPr>
            <w:tcW w:w="3379" w:type="pct"/>
            <w:tcBorders>
              <w:top w:val="single" w:color="auto" w:sz="4" w:space="0"/>
              <w:left w:val="single" w:color="auto" w:sz="4" w:space="0"/>
              <w:bottom w:val="single" w:color="auto" w:sz="4" w:space="0"/>
              <w:right w:val="single" w:color="auto" w:sz="4" w:space="0"/>
            </w:tcBorders>
            <w:vAlign w:val="center"/>
          </w:tcPr>
          <w:p w14:paraId="27B8DB96">
            <w:pPr>
              <w:pStyle w:val="27"/>
              <w:spacing w:line="360" w:lineRule="auto"/>
              <w:rPr>
                <w:rFonts w:ascii="华文宋体" w:hAnsi="华文宋体" w:eastAsia="华文宋体" w:cs="宋体"/>
                <w:kern w:val="2"/>
              </w:rPr>
            </w:pPr>
            <w:r>
              <w:rPr>
                <w:rFonts w:hint="eastAsia" w:ascii="华文宋体" w:hAnsi="华文宋体" w:eastAsia="华文宋体" w:cs="宋体"/>
                <w:kern w:val="2"/>
              </w:rPr>
              <w:t>1</w:t>
            </w:r>
            <w:r>
              <w:rPr>
                <w:rFonts w:ascii="华文宋体" w:hAnsi="华文宋体" w:eastAsia="华文宋体" w:cs="宋体"/>
                <w:kern w:val="2"/>
              </w:rPr>
              <w:t>.</w:t>
            </w:r>
            <w:r>
              <w:rPr>
                <w:rFonts w:hint="eastAsia" w:ascii="华文宋体" w:hAnsi="华文宋体" w:eastAsia="华文宋体" w:cs="宋体"/>
                <w:kern w:val="2"/>
              </w:rPr>
              <w:t>根据供应商提供的会务筹备工作方案是否科学、全面、合理进行评审。优秀的得1</w:t>
            </w:r>
            <w:r>
              <w:rPr>
                <w:rFonts w:ascii="华文宋体" w:hAnsi="华文宋体" w:eastAsia="华文宋体" w:cs="宋体"/>
                <w:kern w:val="2"/>
              </w:rPr>
              <w:t>0</w:t>
            </w:r>
            <w:r>
              <w:rPr>
                <w:rFonts w:hint="eastAsia" w:ascii="华文宋体" w:hAnsi="华文宋体" w:eastAsia="华文宋体" w:cs="宋体"/>
                <w:kern w:val="2"/>
              </w:rPr>
              <w:t>分，良好的得6分，一般的得2分，较差或不提供的不得分。</w:t>
            </w:r>
          </w:p>
        </w:tc>
        <w:tc>
          <w:tcPr>
            <w:tcW w:w="626" w:type="pct"/>
            <w:tcBorders>
              <w:top w:val="single" w:color="auto" w:sz="4" w:space="0"/>
              <w:left w:val="single" w:color="auto" w:sz="4" w:space="0"/>
              <w:right w:val="single" w:color="auto" w:sz="4" w:space="0"/>
            </w:tcBorders>
            <w:vAlign w:val="center"/>
          </w:tcPr>
          <w:p w14:paraId="71AD4805">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10</w:t>
            </w:r>
            <w:r>
              <w:rPr>
                <w:rFonts w:hint="eastAsia" w:ascii="华文宋体" w:hAnsi="华文宋体" w:eastAsia="华文宋体" w:cs="宋体"/>
                <w:kern w:val="2"/>
              </w:rPr>
              <w:t>分</w:t>
            </w:r>
          </w:p>
        </w:tc>
      </w:tr>
      <w:tr w14:paraId="1A5F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995" w:type="pct"/>
            <w:vMerge w:val="continue"/>
            <w:tcBorders>
              <w:left w:val="single" w:color="auto" w:sz="4" w:space="0"/>
              <w:right w:val="single" w:color="auto" w:sz="4" w:space="0"/>
            </w:tcBorders>
            <w:vAlign w:val="center"/>
          </w:tcPr>
          <w:p w14:paraId="01D29FBA">
            <w:pPr>
              <w:widowControl w:val="0"/>
              <w:spacing w:line="360" w:lineRule="auto"/>
              <w:jc w:val="center"/>
              <w:rPr>
                <w:rFonts w:ascii="华文宋体" w:hAnsi="华文宋体" w:eastAsia="华文宋体" w:cs="宋体"/>
                <w:kern w:val="2"/>
              </w:rPr>
            </w:pPr>
          </w:p>
        </w:tc>
        <w:tc>
          <w:tcPr>
            <w:tcW w:w="3379" w:type="pct"/>
            <w:tcBorders>
              <w:top w:val="single" w:color="auto" w:sz="4" w:space="0"/>
              <w:left w:val="single" w:color="auto" w:sz="4" w:space="0"/>
              <w:bottom w:val="single" w:color="auto" w:sz="4" w:space="0"/>
              <w:right w:val="single" w:color="auto" w:sz="4" w:space="0"/>
            </w:tcBorders>
            <w:vAlign w:val="center"/>
          </w:tcPr>
          <w:p w14:paraId="54BB4058">
            <w:pPr>
              <w:pStyle w:val="27"/>
              <w:spacing w:line="360" w:lineRule="auto"/>
              <w:rPr>
                <w:rFonts w:ascii="华文宋体" w:hAnsi="华文宋体" w:eastAsia="华文宋体" w:cs="宋体"/>
                <w:kern w:val="2"/>
              </w:rPr>
            </w:pPr>
            <w:r>
              <w:rPr>
                <w:rFonts w:hint="eastAsia" w:ascii="华文宋体" w:hAnsi="华文宋体" w:eastAsia="华文宋体" w:cs="宋体"/>
                <w:kern w:val="2"/>
              </w:rPr>
              <w:t>2</w:t>
            </w:r>
            <w:r>
              <w:rPr>
                <w:rFonts w:ascii="华文宋体" w:hAnsi="华文宋体" w:eastAsia="华文宋体" w:cs="宋体"/>
                <w:kern w:val="2"/>
              </w:rPr>
              <w:t>.</w:t>
            </w:r>
            <w:r>
              <w:rPr>
                <w:rFonts w:hint="eastAsia" w:ascii="华文宋体" w:hAnsi="华文宋体" w:eastAsia="华文宋体" w:cs="宋体"/>
                <w:kern w:val="2"/>
              </w:rPr>
              <w:t>根据供应商提供的会务保障工作方案是否科学、全面、合理进行评审。优秀的得10分，良好的得6分，一般的得2分，较差或不提供的不得分。</w:t>
            </w:r>
          </w:p>
        </w:tc>
        <w:tc>
          <w:tcPr>
            <w:tcW w:w="626" w:type="pct"/>
            <w:tcBorders>
              <w:left w:val="single" w:color="auto" w:sz="4" w:space="0"/>
              <w:right w:val="single" w:color="auto" w:sz="4" w:space="0"/>
            </w:tcBorders>
            <w:vAlign w:val="center"/>
          </w:tcPr>
          <w:p w14:paraId="6C46444A">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-10</w:t>
            </w:r>
            <w:r>
              <w:rPr>
                <w:rFonts w:hint="eastAsia" w:ascii="华文宋体" w:hAnsi="华文宋体" w:eastAsia="华文宋体" w:cs="宋体"/>
                <w:kern w:val="2"/>
              </w:rPr>
              <w:t>分</w:t>
            </w:r>
          </w:p>
        </w:tc>
      </w:tr>
      <w:tr w14:paraId="20FC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995" w:type="pct"/>
            <w:vMerge w:val="continue"/>
            <w:tcBorders>
              <w:left w:val="single" w:color="auto" w:sz="4" w:space="0"/>
              <w:right w:val="single" w:color="auto" w:sz="4" w:space="0"/>
            </w:tcBorders>
            <w:vAlign w:val="center"/>
          </w:tcPr>
          <w:p w14:paraId="431BDBD1">
            <w:pPr>
              <w:widowControl w:val="0"/>
              <w:spacing w:line="360" w:lineRule="auto"/>
              <w:jc w:val="center"/>
              <w:rPr>
                <w:rFonts w:ascii="华文宋体" w:hAnsi="华文宋体" w:eastAsia="华文宋体" w:cs="宋体"/>
                <w:kern w:val="2"/>
              </w:rPr>
            </w:pPr>
          </w:p>
        </w:tc>
        <w:tc>
          <w:tcPr>
            <w:tcW w:w="3379" w:type="pct"/>
            <w:tcBorders>
              <w:top w:val="single" w:color="auto" w:sz="4" w:space="0"/>
              <w:left w:val="single" w:color="auto" w:sz="4" w:space="0"/>
              <w:bottom w:val="single" w:color="auto" w:sz="4" w:space="0"/>
              <w:right w:val="single" w:color="auto" w:sz="4" w:space="0"/>
            </w:tcBorders>
            <w:vAlign w:val="center"/>
          </w:tcPr>
          <w:p w14:paraId="18C514A7">
            <w:pPr>
              <w:pStyle w:val="27"/>
              <w:spacing w:line="360" w:lineRule="auto"/>
              <w:rPr>
                <w:rFonts w:ascii="华文宋体" w:hAnsi="华文宋体" w:eastAsia="华文宋体" w:cs="宋体"/>
                <w:kern w:val="2"/>
              </w:rPr>
            </w:pPr>
            <w:r>
              <w:rPr>
                <w:rFonts w:hint="eastAsia" w:ascii="华文宋体" w:hAnsi="华文宋体" w:eastAsia="华文宋体" w:cs="宋体"/>
                <w:kern w:val="2"/>
              </w:rPr>
              <w:t>3</w:t>
            </w:r>
            <w:r>
              <w:rPr>
                <w:rFonts w:ascii="华文宋体" w:hAnsi="华文宋体" w:eastAsia="华文宋体" w:cs="宋体"/>
                <w:kern w:val="2"/>
              </w:rPr>
              <w:t>.</w:t>
            </w:r>
            <w:r>
              <w:rPr>
                <w:rFonts w:hint="eastAsia" w:ascii="华文宋体" w:hAnsi="华文宋体" w:eastAsia="华文宋体" w:cs="宋体"/>
                <w:kern w:val="2"/>
              </w:rPr>
              <w:t>根据供应商提供的会务接待工作方案是否科学、全面、合理进行评审。优秀的得10分，良好的得6分，一般的得2分，较差或不提供的不得分。</w:t>
            </w:r>
          </w:p>
        </w:tc>
        <w:tc>
          <w:tcPr>
            <w:tcW w:w="626" w:type="pct"/>
            <w:tcBorders>
              <w:left w:val="single" w:color="auto" w:sz="4" w:space="0"/>
              <w:right w:val="single" w:color="auto" w:sz="4" w:space="0"/>
            </w:tcBorders>
            <w:vAlign w:val="center"/>
          </w:tcPr>
          <w:p w14:paraId="36564BB7">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-10</w:t>
            </w:r>
            <w:r>
              <w:rPr>
                <w:rFonts w:hint="eastAsia" w:ascii="华文宋体" w:hAnsi="华文宋体" w:eastAsia="华文宋体" w:cs="宋体"/>
                <w:kern w:val="2"/>
              </w:rPr>
              <w:t>分</w:t>
            </w:r>
          </w:p>
        </w:tc>
      </w:tr>
      <w:tr w14:paraId="4A6D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95" w:type="pct"/>
            <w:vMerge w:val="continue"/>
            <w:tcBorders>
              <w:left w:val="single" w:color="auto" w:sz="4" w:space="0"/>
              <w:right w:val="single" w:color="auto" w:sz="4" w:space="0"/>
            </w:tcBorders>
            <w:vAlign w:val="center"/>
          </w:tcPr>
          <w:p w14:paraId="5A2165AF">
            <w:pPr>
              <w:widowControl w:val="0"/>
              <w:spacing w:line="360" w:lineRule="auto"/>
              <w:jc w:val="center"/>
              <w:rPr>
                <w:rFonts w:ascii="华文宋体" w:hAnsi="华文宋体" w:eastAsia="华文宋体" w:cs="宋体"/>
                <w:kern w:val="2"/>
              </w:rPr>
            </w:pPr>
          </w:p>
        </w:tc>
        <w:tc>
          <w:tcPr>
            <w:tcW w:w="3379" w:type="pct"/>
            <w:tcBorders>
              <w:top w:val="single" w:color="auto" w:sz="4" w:space="0"/>
              <w:left w:val="single" w:color="auto" w:sz="4" w:space="0"/>
              <w:bottom w:val="single" w:color="auto" w:sz="4" w:space="0"/>
              <w:right w:val="single" w:color="auto" w:sz="4" w:space="0"/>
            </w:tcBorders>
            <w:vAlign w:val="center"/>
          </w:tcPr>
          <w:p w14:paraId="34F278C7">
            <w:pPr>
              <w:pStyle w:val="27"/>
              <w:spacing w:line="360" w:lineRule="auto"/>
              <w:rPr>
                <w:rFonts w:ascii="华文宋体" w:hAnsi="华文宋体" w:eastAsia="华文宋体" w:cs="宋体"/>
                <w:kern w:val="2"/>
              </w:rPr>
            </w:pPr>
            <w:r>
              <w:rPr>
                <w:rFonts w:hint="eastAsia" w:ascii="华文宋体" w:hAnsi="华文宋体" w:eastAsia="华文宋体" w:cs="宋体"/>
                <w:kern w:val="2"/>
              </w:rPr>
              <w:t>4</w:t>
            </w:r>
            <w:r>
              <w:rPr>
                <w:rFonts w:ascii="华文宋体" w:hAnsi="华文宋体" w:eastAsia="华文宋体" w:cs="宋体"/>
                <w:kern w:val="2"/>
              </w:rPr>
              <w:t>.</w:t>
            </w:r>
            <w:r>
              <w:rPr>
                <w:rFonts w:hint="eastAsia" w:ascii="华文宋体" w:hAnsi="华文宋体" w:eastAsia="华文宋体" w:cs="宋体"/>
                <w:kern w:val="2"/>
              </w:rPr>
              <w:t xml:space="preserve"> 根据供应商提供的应急服务工作方案是否科学、全面、合理进行评审。优秀的得10分，良好的得6分，一般的得2分，较差或不提供的不得分。</w:t>
            </w:r>
          </w:p>
        </w:tc>
        <w:tc>
          <w:tcPr>
            <w:tcW w:w="626" w:type="pct"/>
            <w:tcBorders>
              <w:left w:val="single" w:color="auto" w:sz="4" w:space="0"/>
              <w:right w:val="single" w:color="auto" w:sz="4" w:space="0"/>
            </w:tcBorders>
            <w:vAlign w:val="center"/>
          </w:tcPr>
          <w:p w14:paraId="17879C2D">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-10</w:t>
            </w:r>
            <w:r>
              <w:rPr>
                <w:rFonts w:hint="eastAsia" w:ascii="华文宋体" w:hAnsi="华文宋体" w:eastAsia="华文宋体" w:cs="宋体"/>
                <w:kern w:val="2"/>
              </w:rPr>
              <w:t>分</w:t>
            </w:r>
          </w:p>
        </w:tc>
      </w:tr>
      <w:tr w14:paraId="2C1A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5" w:type="pct"/>
            <w:tcBorders>
              <w:top w:val="single" w:color="auto" w:sz="4" w:space="0"/>
              <w:left w:val="single" w:color="auto" w:sz="4" w:space="0"/>
              <w:bottom w:val="single" w:color="auto" w:sz="4" w:space="0"/>
              <w:right w:val="single" w:color="auto" w:sz="4" w:space="0"/>
            </w:tcBorders>
            <w:vAlign w:val="center"/>
          </w:tcPr>
          <w:p w14:paraId="74753DD4">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业绩案例</w:t>
            </w:r>
          </w:p>
          <w:p w14:paraId="5F63ABC3">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（满分2</w:t>
            </w:r>
            <w:r>
              <w:rPr>
                <w:rFonts w:ascii="华文宋体" w:hAnsi="华文宋体" w:eastAsia="华文宋体" w:cs="宋体"/>
                <w:kern w:val="2"/>
              </w:rPr>
              <w:t>0</w:t>
            </w:r>
            <w:r>
              <w:rPr>
                <w:rFonts w:hint="eastAsia" w:ascii="华文宋体" w:hAnsi="华文宋体" w:eastAsia="华文宋体" w:cs="宋体"/>
                <w:kern w:val="2"/>
              </w:rPr>
              <w:t>分）</w:t>
            </w:r>
          </w:p>
        </w:tc>
        <w:tc>
          <w:tcPr>
            <w:tcW w:w="3379" w:type="pct"/>
            <w:tcBorders>
              <w:top w:val="single" w:color="auto" w:sz="4" w:space="0"/>
              <w:left w:val="single" w:color="auto" w:sz="4" w:space="0"/>
              <w:bottom w:val="single" w:color="auto" w:sz="4" w:space="0"/>
              <w:right w:val="single" w:color="auto" w:sz="4" w:space="0"/>
            </w:tcBorders>
            <w:vAlign w:val="center"/>
          </w:tcPr>
          <w:p w14:paraId="6FBECA7D">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供应商</w:t>
            </w:r>
            <w:r>
              <w:rPr>
                <w:rFonts w:ascii="华文宋体" w:hAnsi="华文宋体" w:eastAsia="华文宋体" w:cs="宋体"/>
                <w:kern w:val="2"/>
              </w:rPr>
              <w:t>2021年1月1日至今</w:t>
            </w:r>
            <w:r>
              <w:rPr>
                <w:rFonts w:hint="eastAsia" w:ascii="华文宋体" w:hAnsi="华文宋体" w:eastAsia="华文宋体" w:cs="宋体"/>
                <w:kern w:val="2"/>
              </w:rPr>
              <w:t>（以合同签订时间为准）</w:t>
            </w:r>
            <w:r>
              <w:rPr>
                <w:rFonts w:ascii="华文宋体" w:hAnsi="华文宋体" w:eastAsia="华文宋体" w:cs="宋体"/>
                <w:kern w:val="2"/>
              </w:rPr>
              <w:t>，</w:t>
            </w:r>
            <w:r>
              <w:rPr>
                <w:rFonts w:hint="eastAsia" w:ascii="华文宋体" w:hAnsi="华文宋体" w:eastAsia="华文宋体" w:cs="宋体"/>
                <w:kern w:val="2"/>
              </w:rPr>
              <w:t>具有类似学术会议或年会会务服务业绩的（合同甲方须为省级学会或协会、高校或高校的二级学院）：每提供1个有效业绩得2分，满分2</w:t>
            </w:r>
            <w:r>
              <w:rPr>
                <w:rFonts w:ascii="华文宋体" w:hAnsi="华文宋体" w:eastAsia="华文宋体" w:cs="宋体"/>
                <w:kern w:val="2"/>
              </w:rPr>
              <w:t>0</w:t>
            </w:r>
            <w:r>
              <w:rPr>
                <w:rFonts w:hint="eastAsia" w:ascii="华文宋体" w:hAnsi="华文宋体" w:eastAsia="华文宋体" w:cs="宋体"/>
                <w:kern w:val="2"/>
              </w:rPr>
              <w:t>分。</w:t>
            </w:r>
          </w:p>
          <w:p w14:paraId="53D75B6E">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业绩案例必须同时提供</w:t>
            </w:r>
            <w:r>
              <w:rPr>
                <w:rFonts w:ascii="华文宋体" w:hAnsi="华文宋体" w:eastAsia="华文宋体" w:cs="宋体"/>
                <w:kern w:val="2"/>
              </w:rPr>
              <w:t>①</w:t>
            </w:r>
            <w:r>
              <w:rPr>
                <w:rFonts w:hint="eastAsia" w:ascii="华文宋体" w:hAnsi="华文宋体" w:eastAsia="华文宋体" w:cs="宋体"/>
                <w:kern w:val="2"/>
              </w:rPr>
              <w:t>会议服务合同</w:t>
            </w:r>
            <w:r>
              <w:rPr>
                <w:rFonts w:ascii="华文宋体" w:hAnsi="华文宋体" w:eastAsia="华文宋体" w:cs="宋体"/>
                <w:kern w:val="2"/>
              </w:rPr>
              <w:t>②</w:t>
            </w:r>
            <w:r>
              <w:rPr>
                <w:rFonts w:hint="eastAsia" w:ascii="华文宋体" w:hAnsi="华文宋体" w:eastAsia="华文宋体" w:cs="宋体"/>
                <w:kern w:val="2"/>
              </w:rPr>
              <w:t>会务服务用户反馈等</w:t>
            </w:r>
            <w:r>
              <w:rPr>
                <w:rFonts w:ascii="华文宋体" w:hAnsi="华文宋体" w:eastAsia="华文宋体" w:cs="宋体"/>
                <w:kern w:val="2"/>
              </w:rPr>
              <w:t>证明材料</w:t>
            </w:r>
            <w:r>
              <w:rPr>
                <w:rFonts w:hint="eastAsia" w:ascii="华文宋体" w:hAnsi="华文宋体" w:eastAsia="华文宋体" w:cs="宋体"/>
                <w:kern w:val="2"/>
              </w:rPr>
              <w:t>。供应商对其资料的真实性负责，若虚假资料将按照《政府采购法》及其实施条例处罚。</w:t>
            </w:r>
          </w:p>
        </w:tc>
        <w:tc>
          <w:tcPr>
            <w:tcW w:w="626" w:type="pct"/>
            <w:tcBorders>
              <w:top w:val="single" w:color="auto" w:sz="4" w:space="0"/>
              <w:left w:val="single" w:color="auto" w:sz="4" w:space="0"/>
              <w:bottom w:val="single" w:color="auto" w:sz="4" w:space="0"/>
              <w:right w:val="single" w:color="auto" w:sz="4" w:space="0"/>
            </w:tcBorders>
            <w:vAlign w:val="center"/>
          </w:tcPr>
          <w:p w14:paraId="44EA3A4A">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-20</w:t>
            </w:r>
            <w:r>
              <w:rPr>
                <w:rFonts w:hint="eastAsia" w:ascii="华文宋体" w:hAnsi="华文宋体" w:eastAsia="华文宋体" w:cs="宋体"/>
                <w:kern w:val="2"/>
              </w:rPr>
              <w:t>分</w:t>
            </w:r>
          </w:p>
        </w:tc>
      </w:tr>
      <w:tr w14:paraId="0C64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995" w:type="pct"/>
            <w:vMerge w:val="restart"/>
            <w:tcBorders>
              <w:top w:val="single" w:color="auto" w:sz="4" w:space="0"/>
              <w:left w:val="single" w:color="auto" w:sz="4" w:space="0"/>
              <w:right w:val="single" w:color="auto" w:sz="4" w:space="0"/>
            </w:tcBorders>
            <w:vAlign w:val="center"/>
          </w:tcPr>
          <w:p w14:paraId="10BF8A26">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供应商资信</w:t>
            </w:r>
          </w:p>
          <w:p w14:paraId="7C740AD4">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（满分1</w:t>
            </w:r>
            <w:r>
              <w:rPr>
                <w:rFonts w:ascii="华文宋体" w:hAnsi="华文宋体" w:eastAsia="华文宋体" w:cs="宋体"/>
                <w:kern w:val="2"/>
              </w:rPr>
              <w:t>5</w:t>
            </w:r>
            <w:r>
              <w:rPr>
                <w:rFonts w:hint="eastAsia" w:ascii="华文宋体" w:hAnsi="华文宋体" w:eastAsia="华文宋体" w:cs="宋体"/>
                <w:kern w:val="2"/>
              </w:rPr>
              <w:t>分）</w:t>
            </w:r>
          </w:p>
        </w:tc>
        <w:tc>
          <w:tcPr>
            <w:tcW w:w="3379" w:type="pct"/>
            <w:tcBorders>
              <w:top w:val="single" w:color="auto" w:sz="4" w:space="0"/>
              <w:left w:val="single" w:color="auto" w:sz="4" w:space="0"/>
              <w:bottom w:val="single" w:color="auto" w:sz="4" w:space="0"/>
              <w:right w:val="single" w:color="auto" w:sz="4" w:space="0"/>
            </w:tcBorders>
            <w:vAlign w:val="center"/>
          </w:tcPr>
          <w:p w14:paraId="59E3B12B">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1</w:t>
            </w:r>
            <w:r>
              <w:rPr>
                <w:rFonts w:ascii="华文宋体" w:hAnsi="华文宋体" w:eastAsia="华文宋体" w:cs="宋体"/>
                <w:kern w:val="2"/>
              </w:rPr>
              <w:t>.</w:t>
            </w:r>
            <w:r>
              <w:rPr>
                <w:rFonts w:hint="eastAsia" w:ascii="华文宋体" w:hAnsi="华文宋体" w:eastAsia="华文宋体" w:cs="宋体"/>
                <w:kern w:val="2"/>
              </w:rPr>
              <w:t>供应商营业执照经营范围包含会议服务、展览展示或相关服务内容的得5分。</w:t>
            </w:r>
          </w:p>
          <w:p w14:paraId="349BC87E">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注：响应文件中提供证书扫描件。</w:t>
            </w:r>
          </w:p>
        </w:tc>
        <w:tc>
          <w:tcPr>
            <w:tcW w:w="626" w:type="pct"/>
            <w:vMerge w:val="restart"/>
            <w:tcBorders>
              <w:top w:val="single" w:color="auto" w:sz="4" w:space="0"/>
              <w:left w:val="single" w:color="auto" w:sz="4" w:space="0"/>
              <w:right w:val="single" w:color="auto" w:sz="4" w:space="0"/>
            </w:tcBorders>
            <w:vAlign w:val="center"/>
          </w:tcPr>
          <w:p w14:paraId="475C12F8">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15</w:t>
            </w:r>
            <w:r>
              <w:rPr>
                <w:rFonts w:hint="eastAsia" w:ascii="华文宋体" w:hAnsi="华文宋体" w:eastAsia="华文宋体" w:cs="宋体"/>
                <w:kern w:val="2"/>
              </w:rPr>
              <w:t>分</w:t>
            </w:r>
          </w:p>
        </w:tc>
      </w:tr>
      <w:tr w14:paraId="61F8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jc w:val="center"/>
        </w:trPr>
        <w:tc>
          <w:tcPr>
            <w:tcW w:w="995" w:type="pct"/>
            <w:vMerge w:val="continue"/>
            <w:tcBorders>
              <w:left w:val="single" w:color="auto" w:sz="4" w:space="0"/>
              <w:right w:val="single" w:color="auto" w:sz="4" w:space="0"/>
            </w:tcBorders>
            <w:vAlign w:val="center"/>
          </w:tcPr>
          <w:p w14:paraId="49B35628">
            <w:pPr>
              <w:widowControl w:val="0"/>
              <w:spacing w:line="360" w:lineRule="auto"/>
              <w:jc w:val="center"/>
              <w:rPr>
                <w:rFonts w:ascii="华文宋体" w:hAnsi="华文宋体" w:eastAsia="华文宋体" w:cs="宋体"/>
                <w:kern w:val="2"/>
              </w:rPr>
            </w:pPr>
          </w:p>
        </w:tc>
        <w:tc>
          <w:tcPr>
            <w:tcW w:w="3379" w:type="pct"/>
            <w:tcBorders>
              <w:top w:val="single" w:color="auto" w:sz="4" w:space="0"/>
              <w:left w:val="single" w:color="auto" w:sz="4" w:space="0"/>
              <w:bottom w:val="single" w:color="auto" w:sz="4" w:space="0"/>
              <w:right w:val="single" w:color="auto" w:sz="4" w:space="0"/>
            </w:tcBorders>
            <w:vAlign w:val="center"/>
          </w:tcPr>
          <w:p w14:paraId="61B20E3A">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2.供应商受到省级学会（协会）、高等院校及县级以上政府部门表彰为活动组织先进（或优秀）单位的每有1个得3分，满分6分。</w:t>
            </w:r>
          </w:p>
          <w:p w14:paraId="7FFD232E">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注：响应文件中提供表彰文件扫描件，须能体现供应商名称，如无法体现，须另附颁发单位的相关证明材料，未提供或提供不全的不得分。</w:t>
            </w:r>
          </w:p>
        </w:tc>
        <w:tc>
          <w:tcPr>
            <w:tcW w:w="626" w:type="pct"/>
            <w:vMerge w:val="continue"/>
            <w:tcBorders>
              <w:left w:val="single" w:color="auto" w:sz="4" w:space="0"/>
              <w:right w:val="single" w:color="auto" w:sz="4" w:space="0"/>
            </w:tcBorders>
            <w:vAlign w:val="center"/>
          </w:tcPr>
          <w:p w14:paraId="2D3B9612">
            <w:pPr>
              <w:widowControl w:val="0"/>
              <w:spacing w:line="360" w:lineRule="auto"/>
              <w:jc w:val="center"/>
              <w:rPr>
                <w:rFonts w:ascii="华文宋体" w:hAnsi="华文宋体" w:eastAsia="华文宋体" w:cs="宋体"/>
                <w:kern w:val="2"/>
              </w:rPr>
            </w:pPr>
          </w:p>
        </w:tc>
      </w:tr>
      <w:tr w14:paraId="5E8F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jc w:val="center"/>
        </w:trPr>
        <w:tc>
          <w:tcPr>
            <w:tcW w:w="995" w:type="pct"/>
            <w:vMerge w:val="continue"/>
            <w:tcBorders>
              <w:left w:val="single" w:color="auto" w:sz="4" w:space="0"/>
              <w:bottom w:val="single" w:color="auto" w:sz="4" w:space="0"/>
              <w:right w:val="single" w:color="auto" w:sz="4" w:space="0"/>
            </w:tcBorders>
            <w:vAlign w:val="center"/>
          </w:tcPr>
          <w:p w14:paraId="27E25600">
            <w:pPr>
              <w:widowControl w:val="0"/>
              <w:spacing w:line="360" w:lineRule="auto"/>
              <w:jc w:val="center"/>
              <w:rPr>
                <w:rFonts w:ascii="华文宋体" w:hAnsi="华文宋体" w:eastAsia="华文宋体" w:cs="宋体"/>
                <w:kern w:val="2"/>
              </w:rPr>
            </w:pPr>
          </w:p>
        </w:tc>
        <w:tc>
          <w:tcPr>
            <w:tcW w:w="3379" w:type="pct"/>
            <w:tcBorders>
              <w:top w:val="single" w:color="auto" w:sz="4" w:space="0"/>
              <w:left w:val="single" w:color="auto" w:sz="4" w:space="0"/>
              <w:bottom w:val="single" w:color="auto" w:sz="4" w:space="0"/>
              <w:right w:val="single" w:color="auto" w:sz="4" w:space="0"/>
            </w:tcBorders>
            <w:vAlign w:val="center"/>
          </w:tcPr>
          <w:p w14:paraId="53EB3730">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3.应商具有在有效期内的质量管理体系认证证书、环境管理体系认证证书的，每有1个得2分，满分4分。</w:t>
            </w:r>
          </w:p>
          <w:p w14:paraId="310A113F">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注：响应文件中同时提供认证证书扫描件以及相应证书在全国认证认可信息公共服务平台的体系认证信息查询截图，否则不得分。</w:t>
            </w:r>
          </w:p>
        </w:tc>
        <w:tc>
          <w:tcPr>
            <w:tcW w:w="626" w:type="pct"/>
            <w:vMerge w:val="continue"/>
            <w:tcBorders>
              <w:left w:val="single" w:color="auto" w:sz="4" w:space="0"/>
              <w:bottom w:val="single" w:color="auto" w:sz="4" w:space="0"/>
              <w:right w:val="single" w:color="auto" w:sz="4" w:space="0"/>
            </w:tcBorders>
            <w:vAlign w:val="center"/>
          </w:tcPr>
          <w:p w14:paraId="6A447028">
            <w:pPr>
              <w:widowControl w:val="0"/>
              <w:spacing w:line="360" w:lineRule="auto"/>
              <w:jc w:val="center"/>
              <w:rPr>
                <w:rFonts w:ascii="华文宋体" w:hAnsi="华文宋体" w:eastAsia="华文宋体" w:cs="宋体"/>
                <w:kern w:val="2"/>
              </w:rPr>
            </w:pPr>
          </w:p>
        </w:tc>
      </w:tr>
      <w:tr w14:paraId="174F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5" w:type="pct"/>
            <w:tcBorders>
              <w:top w:val="single" w:color="auto" w:sz="4" w:space="0"/>
              <w:left w:val="single" w:color="auto" w:sz="4" w:space="0"/>
              <w:bottom w:val="single" w:color="auto" w:sz="4" w:space="0"/>
              <w:right w:val="single" w:color="auto" w:sz="4" w:space="0"/>
            </w:tcBorders>
            <w:vAlign w:val="center"/>
          </w:tcPr>
          <w:p w14:paraId="49763277">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投标报价</w:t>
            </w:r>
          </w:p>
          <w:p w14:paraId="7BB5CD21">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（满分2</w:t>
            </w:r>
            <w:r>
              <w:rPr>
                <w:rFonts w:ascii="华文宋体" w:hAnsi="华文宋体" w:eastAsia="华文宋体" w:cs="宋体"/>
                <w:kern w:val="2"/>
              </w:rPr>
              <w:t>5</w:t>
            </w:r>
            <w:r>
              <w:rPr>
                <w:rFonts w:hint="eastAsia" w:ascii="华文宋体" w:hAnsi="华文宋体" w:eastAsia="华文宋体" w:cs="宋体"/>
                <w:kern w:val="2"/>
              </w:rPr>
              <w:t>分）</w:t>
            </w:r>
          </w:p>
        </w:tc>
        <w:tc>
          <w:tcPr>
            <w:tcW w:w="3379" w:type="pct"/>
            <w:tcBorders>
              <w:top w:val="single" w:color="auto" w:sz="4" w:space="0"/>
              <w:left w:val="single" w:color="auto" w:sz="4" w:space="0"/>
              <w:bottom w:val="single" w:color="auto" w:sz="4" w:space="0"/>
              <w:right w:val="single" w:color="auto" w:sz="4" w:space="0"/>
            </w:tcBorders>
            <w:vAlign w:val="center"/>
          </w:tcPr>
          <w:p w14:paraId="5DCE93EC">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1.满足询价文件要求且通过初步评审的最低有效报价为基准价，其价格分为满分2</w:t>
            </w:r>
            <w:r>
              <w:rPr>
                <w:rFonts w:ascii="华文宋体" w:hAnsi="华文宋体" w:eastAsia="华文宋体" w:cs="宋体"/>
                <w:kern w:val="2"/>
              </w:rPr>
              <w:t>5</w:t>
            </w:r>
            <w:r>
              <w:rPr>
                <w:rFonts w:hint="eastAsia" w:ascii="华文宋体" w:hAnsi="华文宋体" w:eastAsia="华文宋体" w:cs="宋体"/>
                <w:kern w:val="2"/>
              </w:rPr>
              <w:t>分。</w:t>
            </w:r>
          </w:p>
          <w:p w14:paraId="76E7D5D3">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2.其他供应商的价格分统一按照下列公式计算：</w:t>
            </w:r>
          </w:p>
          <w:p w14:paraId="1BD021F1">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报价得分 = （基准价 / 响应报价）× 2</w:t>
            </w:r>
            <w:r>
              <w:rPr>
                <w:rFonts w:ascii="华文宋体" w:hAnsi="华文宋体" w:eastAsia="华文宋体" w:cs="宋体"/>
                <w:kern w:val="2"/>
              </w:rPr>
              <w:t>5</w:t>
            </w:r>
          </w:p>
          <w:p w14:paraId="166C6C02">
            <w:pPr>
              <w:widowControl w:val="0"/>
              <w:spacing w:line="360" w:lineRule="auto"/>
              <w:jc w:val="both"/>
              <w:rPr>
                <w:rFonts w:ascii="华文宋体" w:hAnsi="华文宋体" w:eastAsia="华文宋体" w:cs="宋体"/>
                <w:kern w:val="2"/>
              </w:rPr>
            </w:pPr>
            <w:r>
              <w:rPr>
                <w:rFonts w:hint="eastAsia" w:ascii="华文宋体" w:hAnsi="华文宋体" w:eastAsia="华文宋体" w:cs="宋体"/>
                <w:kern w:val="2"/>
              </w:rPr>
              <w:t>注：超过预算控制价的报价为无效报价，不参与评审。</w:t>
            </w:r>
          </w:p>
        </w:tc>
        <w:tc>
          <w:tcPr>
            <w:tcW w:w="626" w:type="pct"/>
            <w:tcBorders>
              <w:top w:val="single" w:color="auto" w:sz="4" w:space="0"/>
              <w:left w:val="single" w:color="auto" w:sz="4" w:space="0"/>
              <w:bottom w:val="single" w:color="auto" w:sz="4" w:space="0"/>
              <w:right w:val="single" w:color="auto" w:sz="4" w:space="0"/>
            </w:tcBorders>
            <w:vAlign w:val="center"/>
          </w:tcPr>
          <w:p w14:paraId="06025DFF">
            <w:pPr>
              <w:widowControl w:val="0"/>
              <w:spacing w:line="360" w:lineRule="auto"/>
              <w:jc w:val="center"/>
              <w:rPr>
                <w:rFonts w:ascii="华文宋体" w:hAnsi="华文宋体" w:eastAsia="华文宋体" w:cs="宋体"/>
                <w:kern w:val="2"/>
              </w:rPr>
            </w:pPr>
            <w:r>
              <w:rPr>
                <w:rFonts w:hint="eastAsia" w:ascii="华文宋体" w:hAnsi="华文宋体" w:eastAsia="华文宋体" w:cs="宋体"/>
                <w:kern w:val="2"/>
              </w:rPr>
              <w:t>0-</w:t>
            </w:r>
            <w:r>
              <w:rPr>
                <w:rFonts w:ascii="华文宋体" w:hAnsi="华文宋体" w:eastAsia="华文宋体" w:cs="宋体"/>
                <w:kern w:val="2"/>
              </w:rPr>
              <w:t>25</w:t>
            </w:r>
            <w:r>
              <w:rPr>
                <w:rFonts w:hint="eastAsia" w:ascii="华文宋体" w:hAnsi="华文宋体" w:eastAsia="华文宋体" w:cs="宋体"/>
                <w:kern w:val="2"/>
              </w:rPr>
              <w:t>分</w:t>
            </w:r>
          </w:p>
        </w:tc>
      </w:tr>
    </w:tbl>
    <w:p w14:paraId="448F2B32">
      <w:pPr>
        <w:pStyle w:val="3"/>
        <w:spacing w:line="360" w:lineRule="auto"/>
        <w:rPr>
          <w:rFonts w:ascii="华文宋体" w:hAnsi="华文宋体" w:eastAsia="华文宋体" w:cs="方正仿宋_GBK"/>
        </w:rPr>
      </w:pPr>
    </w:p>
    <w:bookmarkEnd w:id="0"/>
    <w:bookmarkEnd w:id="2"/>
    <w:p w14:paraId="3ADF003A">
      <w:pPr>
        <w:pStyle w:val="3"/>
        <w:spacing w:line="360" w:lineRule="auto"/>
        <w:rPr>
          <w:rFonts w:ascii="华文宋体" w:hAnsi="华文宋体" w:eastAsia="华文宋体" w:cs="方正仿宋_GBK"/>
        </w:rPr>
      </w:pPr>
    </w:p>
    <w:sectPr>
      <w:footerReference r:id="rId3" w:type="default"/>
      <w:footnotePr>
        <w:numRestart w:val="eachSect"/>
      </w:footnotePr>
      <w:pgSz w:w="12240" w:h="15840"/>
      <w:pgMar w:top="1418" w:right="1701" w:bottom="1418" w:left="1758" w:header="720" w:footer="68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UI"/>
    <w:panose1 w:val="00000000000000000000"/>
    <w:charset w:val="00"/>
    <w:family w:val="swiss"/>
    <w:pitch w:val="default"/>
    <w:sig w:usb0="00000000" w:usb1="00000000" w:usb2="00000000" w:usb3="00000000" w:csb0="0000019F" w:csb1="00000000"/>
    <w:embedRegular r:id="rId1" w:fontKey="{389574B3-BF9C-4B02-BFFD-58A38ADE0F6B}"/>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E5219E9-1588-498B-BE25-64C205F64BF9}"/>
  </w:font>
  <w:font w:name="Aptos Display">
    <w:altName w:val="Calibri"/>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华文宋体">
    <w:panose1 w:val="02010600040101010101"/>
    <w:charset w:val="86"/>
    <w:family w:val="auto"/>
    <w:pitch w:val="default"/>
    <w:sig w:usb0="00000287" w:usb1="080F0000" w:usb2="00000000" w:usb3="00000000" w:csb0="0004009F" w:csb1="DFD70000"/>
    <w:embedRegular r:id="rId3" w:fontKey="{511CB1BB-6BB0-48DF-B6EE-06E4E255914E}"/>
  </w:font>
  <w:font w:name="方正仿宋_GBK">
    <w:panose1 w:val="02000000000000000000"/>
    <w:charset w:val="86"/>
    <w:family w:val="auto"/>
    <w:pitch w:val="default"/>
    <w:sig w:usb0="A00002BF" w:usb1="38CF7CFA" w:usb2="00082016" w:usb3="00000000" w:csb0="00040001" w:csb1="00000000"/>
    <w:embedRegular r:id="rId4" w:fontKey="{F86C3A6D-9462-4E39-8E82-2301814624F1}"/>
  </w:font>
  <w:font w:name="仿宋">
    <w:panose1 w:val="02010609060101010101"/>
    <w:charset w:val="86"/>
    <w:family w:val="modern"/>
    <w:pitch w:val="default"/>
    <w:sig w:usb0="800002BF" w:usb1="38CF7CFA" w:usb2="00000016" w:usb3="00000000" w:csb0="00040001" w:csb1="00000000"/>
    <w:embedRegular r:id="rId5" w:fontKey="{BE3C4221-D357-4F09-B4AC-5CC3A5B6CF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8799927"/>
    </w:sdtPr>
    <w:sdtContent>
      <w:sdt>
        <w:sdtPr>
          <w:id w:val="1728636285"/>
        </w:sdtPr>
        <w:sdtContent>
          <w:p w14:paraId="3F057648">
            <w:pPr>
              <w:pStyle w:val="1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F27FE7F">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49"/>
    <w:rsid w:val="000559C0"/>
    <w:rsid w:val="000643EB"/>
    <w:rsid w:val="000B1920"/>
    <w:rsid w:val="000B3D45"/>
    <w:rsid w:val="000D0FFB"/>
    <w:rsid w:val="00146D8C"/>
    <w:rsid w:val="00174D8C"/>
    <w:rsid w:val="001A363F"/>
    <w:rsid w:val="001C5448"/>
    <w:rsid w:val="00207966"/>
    <w:rsid w:val="00292BFC"/>
    <w:rsid w:val="00296669"/>
    <w:rsid w:val="003630D1"/>
    <w:rsid w:val="003701BF"/>
    <w:rsid w:val="00373894"/>
    <w:rsid w:val="003E0D56"/>
    <w:rsid w:val="00411CB6"/>
    <w:rsid w:val="004552AB"/>
    <w:rsid w:val="004818E3"/>
    <w:rsid w:val="00491968"/>
    <w:rsid w:val="0049728C"/>
    <w:rsid w:val="004B1AD1"/>
    <w:rsid w:val="004D2831"/>
    <w:rsid w:val="004F24FE"/>
    <w:rsid w:val="0058546D"/>
    <w:rsid w:val="005944A2"/>
    <w:rsid w:val="005A49D2"/>
    <w:rsid w:val="005B3448"/>
    <w:rsid w:val="00607F5A"/>
    <w:rsid w:val="006A6ACA"/>
    <w:rsid w:val="006B095F"/>
    <w:rsid w:val="006C470A"/>
    <w:rsid w:val="006F1C87"/>
    <w:rsid w:val="00755BE1"/>
    <w:rsid w:val="00770480"/>
    <w:rsid w:val="00775F09"/>
    <w:rsid w:val="007D15F2"/>
    <w:rsid w:val="007D481E"/>
    <w:rsid w:val="007D5D2E"/>
    <w:rsid w:val="007E00FA"/>
    <w:rsid w:val="007E4258"/>
    <w:rsid w:val="007F2919"/>
    <w:rsid w:val="008467A5"/>
    <w:rsid w:val="00882203"/>
    <w:rsid w:val="00885A1C"/>
    <w:rsid w:val="00893485"/>
    <w:rsid w:val="008B385C"/>
    <w:rsid w:val="00900D12"/>
    <w:rsid w:val="009023CB"/>
    <w:rsid w:val="0093766C"/>
    <w:rsid w:val="009B511C"/>
    <w:rsid w:val="009C3049"/>
    <w:rsid w:val="00A3390A"/>
    <w:rsid w:val="00B14399"/>
    <w:rsid w:val="00B5034F"/>
    <w:rsid w:val="00B5500E"/>
    <w:rsid w:val="00B720DB"/>
    <w:rsid w:val="00B868D9"/>
    <w:rsid w:val="00BA6DE4"/>
    <w:rsid w:val="00BC2FF1"/>
    <w:rsid w:val="00BC3C39"/>
    <w:rsid w:val="00BE7300"/>
    <w:rsid w:val="00CE3ACC"/>
    <w:rsid w:val="00D6554E"/>
    <w:rsid w:val="00D87163"/>
    <w:rsid w:val="00E22E68"/>
    <w:rsid w:val="00E4696A"/>
    <w:rsid w:val="00EB4875"/>
    <w:rsid w:val="00EC2E3E"/>
    <w:rsid w:val="00FF3BD0"/>
    <w:rsid w:val="18697B91"/>
    <w:rsid w:val="197632CA"/>
    <w:rsid w:val="26153106"/>
    <w:rsid w:val="26253F79"/>
    <w:rsid w:val="28AA03C1"/>
    <w:rsid w:val="29B535B1"/>
    <w:rsid w:val="34E90DE7"/>
    <w:rsid w:val="36646687"/>
    <w:rsid w:val="439711A6"/>
    <w:rsid w:val="44765B8C"/>
    <w:rsid w:val="4B4B4D50"/>
    <w:rsid w:val="4FCC21D8"/>
    <w:rsid w:val="5898534D"/>
    <w:rsid w:val="61141F86"/>
    <w:rsid w:val="66056E07"/>
    <w:rsid w:val="67513297"/>
    <w:rsid w:val="772C4CB7"/>
    <w:rsid w:val="79A4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zh-CN" w:bidi="ar-SA"/>
    </w:rPr>
  </w:style>
  <w:style w:type="paragraph" w:styleId="2">
    <w:name w:val="heading 1"/>
    <w:basedOn w:val="1"/>
    <w:next w:val="3"/>
    <w:link w:val="34"/>
    <w:qFormat/>
    <w:uiPriority w:val="9"/>
    <w:pPr>
      <w:keepNext/>
      <w:keepLines/>
      <w:spacing w:before="360" w:after="80"/>
      <w:outlineLvl w:val="0"/>
    </w:pPr>
    <w:rPr>
      <w:rFonts w:asciiTheme="majorHAnsi" w:hAnsiTheme="majorHAnsi" w:eastAsiaTheme="majorEastAsia" w:cstheme="majorBidi"/>
      <w:b/>
      <w:bCs/>
      <w:color w:val="000000"/>
      <w:sz w:val="44"/>
      <w:szCs w:val="44"/>
    </w:rPr>
  </w:style>
  <w:style w:type="paragraph" w:styleId="4">
    <w:name w:val="heading 2"/>
    <w:basedOn w:val="1"/>
    <w:next w:val="3"/>
    <w:link w:val="35"/>
    <w:unhideWhenUsed/>
    <w:qFormat/>
    <w:uiPriority w:val="9"/>
    <w:pPr>
      <w:keepNext/>
      <w:keepLines/>
      <w:spacing w:before="240" w:after="80"/>
      <w:outlineLvl w:val="1"/>
    </w:pPr>
    <w:rPr>
      <w:rFonts w:asciiTheme="majorHAnsi" w:hAnsiTheme="majorHAnsi" w:eastAsiaTheme="majorEastAsia" w:cstheme="majorBidi"/>
      <w:b/>
      <w:bCs/>
      <w:color w:val="000000"/>
      <w:sz w:val="36"/>
      <w:szCs w:val="36"/>
    </w:rPr>
  </w:style>
  <w:style w:type="paragraph" w:styleId="5">
    <w:name w:val="heading 3"/>
    <w:basedOn w:val="1"/>
    <w:next w:val="3"/>
    <w:link w:val="36"/>
    <w:unhideWhenUsed/>
    <w:qFormat/>
    <w:uiPriority w:val="9"/>
    <w:pPr>
      <w:keepNext/>
      <w:keepLines/>
      <w:spacing w:before="200" w:after="80"/>
      <w:outlineLvl w:val="2"/>
    </w:pPr>
    <w:rPr>
      <w:rFonts w:asciiTheme="majorHAnsi" w:hAnsiTheme="majorHAnsi" w:eastAsiaTheme="majorEastAsia" w:cstheme="majorBidi"/>
      <w:b/>
      <w:bCs/>
      <w:color w:val="000000"/>
      <w:sz w:val="28"/>
      <w:szCs w:val="28"/>
    </w:rPr>
  </w:style>
  <w:style w:type="paragraph" w:styleId="6">
    <w:name w:val="heading 4"/>
    <w:basedOn w:val="1"/>
    <w:next w:val="3"/>
    <w:link w:val="37"/>
    <w:unhideWhenUsed/>
    <w:qFormat/>
    <w:uiPriority w:val="9"/>
    <w:pPr>
      <w:keepNext/>
      <w:keepLines/>
      <w:spacing w:before="160" w:after="60"/>
      <w:outlineLvl w:val="3"/>
    </w:pPr>
    <w:rPr>
      <w:rFonts w:asciiTheme="majorHAnsi" w:hAnsiTheme="majorHAnsi" w:eastAsiaTheme="majorEastAsia" w:cstheme="majorBidi"/>
      <w:b/>
      <w:bCs/>
      <w:color w:val="000000"/>
    </w:rPr>
  </w:style>
  <w:style w:type="paragraph" w:styleId="7">
    <w:name w:val="heading 5"/>
    <w:basedOn w:val="1"/>
    <w:next w:val="3"/>
    <w:link w:val="38"/>
    <w:unhideWhenUsed/>
    <w:qFormat/>
    <w:uiPriority w:val="9"/>
    <w:pPr>
      <w:keepNext/>
      <w:keepLines/>
      <w:spacing w:before="160" w:after="60"/>
      <w:outlineLvl w:val="4"/>
    </w:pPr>
    <w:rPr>
      <w:rFonts w:asciiTheme="majorHAnsi" w:hAnsiTheme="majorHAnsi" w:eastAsiaTheme="majorEastAsia" w:cstheme="majorBidi"/>
      <w:b/>
      <w:bCs/>
      <w:color w:val="000000"/>
      <w:sz w:val="22"/>
      <w:szCs w:val="22"/>
    </w:rPr>
  </w:style>
  <w:style w:type="paragraph" w:styleId="8">
    <w:name w:val="heading 6"/>
    <w:basedOn w:val="1"/>
    <w:next w:val="3"/>
    <w:link w:val="39"/>
    <w:unhideWhenUsed/>
    <w:qFormat/>
    <w:uiPriority w:val="9"/>
    <w:pPr>
      <w:keepNext/>
      <w:keepLines/>
      <w:spacing w:before="120" w:after="40"/>
      <w:outlineLvl w:val="5"/>
    </w:pPr>
    <w:rPr>
      <w:rFonts w:asciiTheme="majorHAnsi" w:hAnsiTheme="majorHAnsi" w:eastAsiaTheme="majorEastAsia" w:cstheme="majorBidi"/>
      <w:b/>
      <w:bCs/>
      <w:color w:val="000000"/>
      <w:sz w:val="21"/>
      <w:szCs w:val="21"/>
    </w:rPr>
  </w:style>
  <w:style w:type="paragraph" w:styleId="9">
    <w:name w:val="heading 7"/>
    <w:basedOn w:val="1"/>
    <w:next w:val="3"/>
    <w:link w:val="40"/>
    <w:unhideWhenUsed/>
    <w:qFormat/>
    <w:uiPriority w:val="9"/>
    <w:pPr>
      <w:keepNext/>
      <w:keepLines/>
      <w:spacing w:before="120" w:after="40"/>
      <w:outlineLvl w:val="6"/>
    </w:pPr>
    <w:rPr>
      <w:rFonts w:asciiTheme="majorHAnsi" w:hAnsiTheme="majorHAnsi" w:eastAsiaTheme="majorEastAsia" w:cstheme="majorBidi"/>
      <w:b/>
      <w:bCs/>
      <w:color w:val="000000"/>
      <w:sz w:val="21"/>
      <w:szCs w:val="21"/>
    </w:rPr>
  </w:style>
  <w:style w:type="paragraph" w:styleId="10">
    <w:name w:val="heading 8"/>
    <w:basedOn w:val="1"/>
    <w:next w:val="3"/>
    <w:link w:val="41"/>
    <w:unhideWhenUsed/>
    <w:qFormat/>
    <w:uiPriority w:val="9"/>
    <w:pPr>
      <w:keepNext/>
      <w:keepLines/>
      <w:spacing w:before="120" w:after="40"/>
      <w:outlineLvl w:val="7"/>
    </w:pPr>
    <w:rPr>
      <w:rFonts w:asciiTheme="majorHAnsi" w:hAnsiTheme="majorHAnsi" w:eastAsiaTheme="majorEastAsia" w:cstheme="majorBidi"/>
      <w:b/>
      <w:bCs/>
      <w:color w:val="000000"/>
      <w:sz w:val="21"/>
      <w:szCs w:val="21"/>
    </w:rPr>
  </w:style>
  <w:style w:type="paragraph" w:styleId="11">
    <w:name w:val="heading 9"/>
    <w:basedOn w:val="1"/>
    <w:next w:val="3"/>
    <w:link w:val="42"/>
    <w:unhideWhenUsed/>
    <w:qFormat/>
    <w:uiPriority w:val="9"/>
    <w:pPr>
      <w:keepNext/>
      <w:keepLines/>
      <w:spacing w:before="120" w:after="40"/>
      <w:outlineLvl w:val="8"/>
    </w:pPr>
    <w:rPr>
      <w:rFonts w:asciiTheme="majorHAnsi" w:hAnsiTheme="majorHAnsi" w:eastAsiaTheme="majorEastAsia" w:cstheme="majorBidi"/>
      <w:b/>
      <w:bCs/>
      <w:color w:val="000000"/>
      <w:sz w:val="21"/>
      <w:szCs w:val="21"/>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4"/>
    <w:qFormat/>
    <w:uiPriority w:val="0"/>
  </w:style>
  <w:style w:type="paragraph" w:styleId="12">
    <w:name w:val="caption"/>
    <w:basedOn w:val="1"/>
    <w:qFormat/>
    <w:uiPriority w:val="0"/>
    <w:pPr>
      <w:spacing w:after="120"/>
    </w:pPr>
    <w:rPr>
      <w:i/>
    </w:rPr>
  </w:style>
  <w:style w:type="paragraph" w:styleId="13">
    <w:name w:val="Block Text"/>
    <w:basedOn w:val="3"/>
    <w:next w:val="3"/>
    <w:unhideWhenUsed/>
    <w:qFormat/>
    <w:uiPriority w:val="9"/>
    <w:pPr>
      <w:pBdr>
        <w:left w:val="single" w:color="CCCCCC" w:sz="18" w:space="12"/>
      </w:pBdr>
      <w:spacing w:before="100" w:after="100"/>
      <w:ind w:left="480" w:right="480"/>
    </w:pPr>
    <w:rPr>
      <w:color w:val="999999"/>
    </w:rPr>
  </w:style>
  <w:style w:type="paragraph" w:styleId="14">
    <w:name w:val="Date"/>
    <w:basedOn w:val="15"/>
    <w:next w:val="3"/>
    <w:qFormat/>
    <w:uiPriority w:val="0"/>
    <w:pPr>
      <w:keepNext/>
      <w:keepLines/>
    </w:pPr>
    <w:rPr>
      <w:sz w:val="24"/>
      <w:szCs w:val="24"/>
    </w:rPr>
  </w:style>
  <w:style w:type="paragraph" w:styleId="15">
    <w:name w:val="Title"/>
    <w:basedOn w:val="1"/>
    <w:next w:val="3"/>
    <w:link w:val="28"/>
    <w:qFormat/>
    <w:uiPriority w:val="10"/>
    <w:pPr>
      <w:spacing w:after="80"/>
      <w:contextualSpacing/>
      <w:jc w:val="center"/>
    </w:pPr>
    <w:rPr>
      <w:rFonts w:asciiTheme="majorHAnsi" w:hAnsiTheme="majorHAnsi" w:eastAsiaTheme="majorEastAsia" w:cstheme="majorBidi"/>
      <w:sz w:val="56"/>
      <w:szCs w:val="56"/>
    </w:rPr>
  </w:style>
  <w:style w:type="paragraph" w:styleId="16">
    <w:name w:val="footer"/>
    <w:basedOn w:val="1"/>
    <w:link w:val="89"/>
    <w:qFormat/>
    <w:uiPriority w:val="99"/>
    <w:pPr>
      <w:tabs>
        <w:tab w:val="center" w:pos="4153"/>
        <w:tab w:val="right" w:pos="8306"/>
      </w:tabs>
      <w:snapToGrid w:val="0"/>
    </w:pPr>
    <w:rPr>
      <w:sz w:val="18"/>
      <w:szCs w:val="18"/>
    </w:rPr>
  </w:style>
  <w:style w:type="paragraph" w:styleId="17">
    <w:name w:val="header"/>
    <w:basedOn w:val="1"/>
    <w:link w:val="88"/>
    <w:qFormat/>
    <w:uiPriority w:val="0"/>
    <w:pPr>
      <w:pBdr>
        <w:bottom w:val="single" w:color="auto" w:sz="6" w:space="1"/>
      </w:pBdr>
      <w:tabs>
        <w:tab w:val="center" w:pos="4153"/>
        <w:tab w:val="right" w:pos="8306"/>
      </w:tabs>
      <w:snapToGrid w:val="0"/>
      <w:jc w:val="center"/>
    </w:pPr>
    <w:rPr>
      <w:sz w:val="18"/>
      <w:szCs w:val="18"/>
    </w:rPr>
  </w:style>
  <w:style w:type="paragraph" w:styleId="18">
    <w:name w:val="Subtitle"/>
    <w:basedOn w:val="15"/>
    <w:next w:val="3"/>
    <w:link w:val="29"/>
    <w:qFormat/>
    <w:uiPriority w:val="11"/>
    <w:rPr>
      <w:spacing w:val="15"/>
      <w:sz w:val="28"/>
      <w:szCs w:val="28"/>
    </w:rPr>
  </w:style>
  <w:style w:type="paragraph" w:styleId="19">
    <w:name w:val="footnote text"/>
    <w:basedOn w:val="1"/>
    <w:unhideWhenUsed/>
    <w:qFormat/>
    <w:uiPriority w:val="9"/>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4"/>
    <w:qFormat/>
    <w:uiPriority w:val="0"/>
    <w:rPr>
      <w:color w:val="156082" w:themeColor="accent1"/>
      <w14:textFill>
        <w14:solidFill>
          <w14:schemeClr w14:val="accent1"/>
        </w14:solidFill>
      </w14:textFill>
    </w:rPr>
  </w:style>
  <w:style w:type="character" w:customStyle="1" w:styleId="24">
    <w:name w:val="正文文本 字符"/>
    <w:basedOn w:val="22"/>
    <w:link w:val="3"/>
    <w:qFormat/>
    <w:uiPriority w:val="0"/>
  </w:style>
  <w:style w:type="character" w:styleId="25">
    <w:name w:val="footnote reference"/>
    <w:basedOn w:val="24"/>
    <w:qFormat/>
    <w:uiPriority w:val="0"/>
    <w:rPr>
      <w:vertAlign w:val="superscript"/>
    </w:rPr>
  </w:style>
  <w:style w:type="paragraph" w:customStyle="1" w:styleId="26">
    <w:name w:val="First Paragraph"/>
    <w:basedOn w:val="3"/>
    <w:next w:val="3"/>
    <w:qFormat/>
    <w:uiPriority w:val="0"/>
  </w:style>
  <w:style w:type="paragraph" w:customStyle="1" w:styleId="27">
    <w:name w:val="Compact"/>
    <w:basedOn w:val="3"/>
    <w:qFormat/>
    <w:uiPriority w:val="0"/>
  </w:style>
  <w:style w:type="character" w:customStyle="1" w:styleId="28">
    <w:name w:val="标题 字符"/>
    <w:basedOn w:val="22"/>
    <w:link w:val="15"/>
    <w:qFormat/>
    <w:uiPriority w:val="10"/>
    <w:rPr>
      <w:rFonts w:asciiTheme="majorHAnsi" w:hAnsiTheme="majorHAnsi" w:eastAsiaTheme="majorEastAsia" w:cstheme="majorBidi"/>
      <w:sz w:val="56"/>
      <w:szCs w:val="56"/>
    </w:rPr>
  </w:style>
  <w:style w:type="character" w:customStyle="1" w:styleId="29">
    <w:name w:val="副标题 字符"/>
    <w:basedOn w:val="22"/>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0">
    <w:name w:val="Author"/>
    <w:basedOn w:val="15"/>
    <w:next w:val="3"/>
    <w:qFormat/>
    <w:uiPriority w:val="0"/>
    <w:pPr>
      <w:keepNext/>
      <w:keepLines/>
    </w:pPr>
    <w:rPr>
      <w:sz w:val="24"/>
      <w:szCs w:val="24"/>
    </w:rPr>
  </w:style>
  <w:style w:type="paragraph" w:customStyle="1" w:styleId="31">
    <w:name w:val="Abstract Title"/>
    <w:basedOn w:val="1"/>
    <w:next w:val="32"/>
    <w:qFormat/>
    <w:uiPriority w:val="0"/>
    <w:pPr>
      <w:keepNext/>
      <w:keepLines/>
      <w:spacing w:before="300"/>
      <w:jc w:val="center"/>
    </w:pPr>
    <w:rPr>
      <w:b/>
      <w:sz w:val="20"/>
      <w:szCs w:val="20"/>
    </w:rPr>
  </w:style>
  <w:style w:type="paragraph" w:customStyle="1" w:styleId="32">
    <w:name w:val="Abstract"/>
    <w:basedOn w:val="1"/>
    <w:next w:val="3"/>
    <w:qFormat/>
    <w:uiPriority w:val="0"/>
    <w:pPr>
      <w:keepNext/>
      <w:keepLines/>
      <w:spacing w:before="100" w:after="300"/>
    </w:pPr>
    <w:rPr>
      <w:sz w:val="20"/>
      <w:szCs w:val="20"/>
    </w:rPr>
  </w:style>
  <w:style w:type="paragraph" w:customStyle="1" w:styleId="33">
    <w:name w:val="书目1"/>
    <w:basedOn w:val="1"/>
    <w:qFormat/>
    <w:uiPriority w:val="0"/>
  </w:style>
  <w:style w:type="character" w:customStyle="1" w:styleId="34">
    <w:name w:val="标题 1 字符"/>
    <w:basedOn w:val="22"/>
    <w:link w:val="2"/>
    <w:qFormat/>
    <w:uiPriority w:val="9"/>
    <w:rPr>
      <w:rFonts w:asciiTheme="majorHAnsi" w:hAnsiTheme="majorHAnsi" w:eastAsiaTheme="majorEastAsia" w:cstheme="majorBidi"/>
      <w:b/>
      <w:bCs/>
      <w:color w:val="000000"/>
      <w:sz w:val="44"/>
      <w:szCs w:val="44"/>
    </w:rPr>
  </w:style>
  <w:style w:type="character" w:customStyle="1" w:styleId="35">
    <w:name w:val="标题 2 字符"/>
    <w:basedOn w:val="22"/>
    <w:link w:val="4"/>
    <w:qFormat/>
    <w:uiPriority w:val="9"/>
    <w:rPr>
      <w:rFonts w:asciiTheme="majorHAnsi" w:hAnsiTheme="majorHAnsi" w:eastAsiaTheme="majorEastAsia" w:cstheme="majorBidi"/>
      <w:b/>
      <w:bCs/>
      <w:color w:val="000000"/>
      <w:sz w:val="36"/>
      <w:szCs w:val="36"/>
    </w:rPr>
  </w:style>
  <w:style w:type="character" w:customStyle="1" w:styleId="36">
    <w:name w:val="标题 3 字符"/>
    <w:basedOn w:val="22"/>
    <w:link w:val="5"/>
    <w:qFormat/>
    <w:uiPriority w:val="9"/>
    <w:rPr>
      <w:rFonts w:asciiTheme="majorHAnsi" w:hAnsiTheme="majorHAnsi" w:eastAsiaTheme="majorEastAsia" w:cstheme="majorBidi"/>
      <w:b/>
      <w:bCs/>
      <w:color w:val="000000"/>
      <w:sz w:val="28"/>
      <w:szCs w:val="28"/>
    </w:rPr>
  </w:style>
  <w:style w:type="character" w:customStyle="1" w:styleId="37">
    <w:name w:val="标题 4 字符"/>
    <w:basedOn w:val="22"/>
    <w:link w:val="6"/>
    <w:qFormat/>
    <w:uiPriority w:val="9"/>
    <w:rPr>
      <w:rFonts w:asciiTheme="majorHAnsi" w:hAnsiTheme="majorHAnsi" w:eastAsiaTheme="majorEastAsia" w:cstheme="majorBidi"/>
      <w:b/>
      <w:bCs/>
      <w:color w:val="000000"/>
      <w:sz w:val="24"/>
      <w:szCs w:val="24"/>
    </w:rPr>
  </w:style>
  <w:style w:type="character" w:customStyle="1" w:styleId="38">
    <w:name w:val="标题 5 字符"/>
    <w:basedOn w:val="22"/>
    <w:link w:val="7"/>
    <w:qFormat/>
    <w:uiPriority w:val="9"/>
    <w:rPr>
      <w:rFonts w:asciiTheme="majorHAnsi" w:hAnsiTheme="majorHAnsi" w:eastAsiaTheme="majorEastAsia" w:cstheme="majorBidi"/>
      <w:b/>
      <w:bCs/>
      <w:color w:val="000000"/>
      <w:sz w:val="22"/>
      <w:szCs w:val="22"/>
    </w:rPr>
  </w:style>
  <w:style w:type="character" w:customStyle="1" w:styleId="39">
    <w:name w:val="标题 6 字符"/>
    <w:basedOn w:val="22"/>
    <w:link w:val="8"/>
    <w:qFormat/>
    <w:uiPriority w:val="9"/>
    <w:rPr>
      <w:rFonts w:asciiTheme="majorHAnsi" w:hAnsiTheme="majorHAnsi" w:eastAsiaTheme="majorEastAsia" w:cstheme="majorBidi"/>
      <w:b/>
      <w:bCs/>
      <w:color w:val="000000"/>
      <w:sz w:val="21"/>
      <w:szCs w:val="21"/>
    </w:rPr>
  </w:style>
  <w:style w:type="character" w:customStyle="1" w:styleId="40">
    <w:name w:val="标题 7 字符"/>
    <w:basedOn w:val="22"/>
    <w:link w:val="9"/>
    <w:qFormat/>
    <w:uiPriority w:val="9"/>
    <w:rPr>
      <w:rFonts w:asciiTheme="majorHAnsi" w:hAnsiTheme="majorHAnsi" w:eastAsiaTheme="majorEastAsia" w:cstheme="majorBidi"/>
      <w:b/>
      <w:bCs/>
      <w:color w:val="000000"/>
      <w:sz w:val="21"/>
      <w:szCs w:val="21"/>
    </w:rPr>
  </w:style>
  <w:style w:type="character" w:customStyle="1" w:styleId="41">
    <w:name w:val="标题 8 字符"/>
    <w:basedOn w:val="22"/>
    <w:link w:val="10"/>
    <w:qFormat/>
    <w:uiPriority w:val="9"/>
    <w:rPr>
      <w:rFonts w:asciiTheme="majorHAnsi" w:hAnsiTheme="majorHAnsi" w:eastAsiaTheme="majorEastAsia" w:cstheme="majorBidi"/>
      <w:b/>
      <w:bCs/>
      <w:color w:val="000000"/>
      <w:sz w:val="21"/>
      <w:szCs w:val="21"/>
    </w:rPr>
  </w:style>
  <w:style w:type="character" w:customStyle="1" w:styleId="42">
    <w:name w:val="标题 9 字符"/>
    <w:basedOn w:val="22"/>
    <w:link w:val="11"/>
    <w:qFormat/>
    <w:uiPriority w:val="9"/>
    <w:rPr>
      <w:rFonts w:asciiTheme="majorHAnsi" w:hAnsiTheme="majorHAnsi" w:eastAsiaTheme="majorEastAsia" w:cstheme="majorBidi"/>
      <w:b/>
      <w:bCs/>
      <w:color w:val="000000"/>
      <w:sz w:val="21"/>
      <w:szCs w:val="21"/>
    </w:rPr>
  </w:style>
  <w:style w:type="paragraph" w:customStyle="1" w:styleId="43">
    <w:name w:val="Footnote Block Text"/>
    <w:basedOn w:val="19"/>
    <w:next w:val="19"/>
    <w:unhideWhenUsed/>
    <w:qFormat/>
    <w:uiPriority w:val="9"/>
    <w:pPr>
      <w:spacing w:before="100" w:after="100"/>
      <w:ind w:left="480" w:right="480"/>
    </w:pPr>
  </w:style>
  <w:style w:type="table" w:customStyle="1" w:styleId="44">
    <w:name w:val="Tabl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108" w:type="dxa"/>
        <w:bottom w:w="55" w:type="dxa"/>
        <w:right w:w="108" w:type="dxa"/>
      </w:tblCellMar>
    </w:tblPr>
    <w:tblStylePr w:type="firstRow">
      <w:rPr>
        <w:b/>
        <w:bCs/>
      </w:rPr>
      <w:tcPr>
        <w:tcBorders>
          <w:bottom w:val="single" w:color="000000" w:sz="8" w:space="0"/>
        </w:tcBorders>
        <w:vAlign w:val="bottom"/>
      </w:tcPr>
    </w:tblStylePr>
  </w:style>
  <w:style w:type="table" w:customStyle="1" w:styleId="45">
    <w:name w:val="LayoutTable"/>
    <w:qFormat/>
    <w:uiPriority w:val="0"/>
    <w:tblPr>
      <w:tblCellMar>
        <w:top w:w="0" w:type="dxa"/>
        <w:left w:w="0" w:type="dxa"/>
        <w:bottom w:w="0" w:type="dxa"/>
        <w:right w:w="0" w:type="dxa"/>
      </w:tblCellMar>
    </w:tblPr>
  </w:style>
  <w:style w:type="paragraph" w:customStyle="1" w:styleId="46">
    <w:name w:val="Definition Term"/>
    <w:basedOn w:val="1"/>
    <w:next w:val="47"/>
    <w:qFormat/>
    <w:uiPriority w:val="0"/>
    <w:pPr>
      <w:keepNext/>
      <w:keepLines/>
    </w:pPr>
    <w:rPr>
      <w:b/>
    </w:rPr>
  </w:style>
  <w:style w:type="paragraph" w:customStyle="1" w:styleId="47">
    <w:name w:val="Definition"/>
    <w:basedOn w:val="1"/>
    <w:qFormat/>
    <w:uiPriority w:val="0"/>
  </w:style>
  <w:style w:type="paragraph" w:customStyle="1" w:styleId="48">
    <w:name w:val="Table Caption"/>
    <w:basedOn w:val="12"/>
    <w:qFormat/>
    <w:uiPriority w:val="0"/>
    <w:pPr>
      <w:keepNext/>
    </w:pPr>
  </w:style>
  <w:style w:type="paragraph" w:customStyle="1" w:styleId="49">
    <w:name w:val="Image Caption"/>
    <w:basedOn w:val="12"/>
    <w:qFormat/>
    <w:uiPriority w:val="0"/>
  </w:style>
  <w:style w:type="paragraph" w:customStyle="1" w:styleId="50">
    <w:name w:val="Figure"/>
    <w:basedOn w:val="1"/>
    <w:qFormat/>
    <w:uiPriority w:val="0"/>
  </w:style>
  <w:style w:type="paragraph" w:customStyle="1" w:styleId="51">
    <w:name w:val="Captioned Figure"/>
    <w:basedOn w:val="50"/>
    <w:qFormat/>
    <w:uiPriority w:val="0"/>
    <w:pPr>
      <w:keepNext/>
    </w:pPr>
  </w:style>
  <w:style w:type="paragraph" w:customStyle="1" w:styleId="52">
    <w:name w:val="Source Code"/>
    <w:basedOn w:val="1"/>
    <w:qFormat/>
    <w:uiPriority w:val="9"/>
    <w:pPr>
      <w:shd w:val="clear" w:color="auto" w:fill="F0F0F0"/>
      <w:spacing w:before="100" w:after="100"/>
      <w:ind w:left="240" w:right="240"/>
    </w:pPr>
    <w:rPr>
      <w:rFonts w:ascii="Consolas" w:hAnsi="Consolas"/>
      <w:color w:val="333333"/>
      <w:sz w:val="22"/>
    </w:rPr>
  </w:style>
  <w:style w:type="character" w:customStyle="1" w:styleId="53">
    <w:name w:val="Verbatim Char"/>
    <w:basedOn w:val="24"/>
    <w:qFormat/>
    <w:uiPriority w:val="0"/>
    <w:rPr>
      <w:rFonts w:ascii="Consolas" w:hAnsi="Consolas"/>
      <w:color w:val="333333"/>
      <w:sz w:val="22"/>
      <w:shd w:val="clear" w:color="auto" w:fill="F0F0F0"/>
    </w:rPr>
  </w:style>
  <w:style w:type="character" w:customStyle="1" w:styleId="54">
    <w:name w:val="Section Number"/>
    <w:basedOn w:val="24"/>
    <w:qFormat/>
    <w:uiPriority w:val="0"/>
  </w:style>
  <w:style w:type="paragraph" w:customStyle="1" w:styleId="55">
    <w:name w:val="TOC 标题1"/>
    <w:basedOn w:val="2"/>
    <w:next w:val="3"/>
    <w:unhideWhenUsed/>
    <w:qFormat/>
    <w:uiPriority w:val="39"/>
    <w:pPr>
      <w:spacing w:before="240" w:line="259" w:lineRule="auto"/>
      <w:outlineLvl w:val="9"/>
    </w:pPr>
    <w:rPr>
      <w:b w:val="0"/>
      <w:bCs w:val="0"/>
      <w:color w:val="104862" w:themeColor="accent1" w:themeShade="BF"/>
    </w:rPr>
  </w:style>
  <w:style w:type="character" w:customStyle="1" w:styleId="56">
    <w:name w:val="KeywordTok"/>
    <w:basedOn w:val="53"/>
    <w:qFormat/>
    <w:uiPriority w:val="0"/>
    <w:rPr>
      <w:rFonts w:ascii="Consolas" w:hAnsi="Consolas"/>
      <w:b/>
      <w:color w:val="007020"/>
      <w:sz w:val="22"/>
      <w:shd w:val="clear" w:color="auto" w:fill="F0F0F0"/>
    </w:rPr>
  </w:style>
  <w:style w:type="character" w:customStyle="1" w:styleId="57">
    <w:name w:val="DataTypeTok"/>
    <w:basedOn w:val="53"/>
    <w:qFormat/>
    <w:uiPriority w:val="0"/>
    <w:rPr>
      <w:rFonts w:ascii="Consolas" w:hAnsi="Consolas"/>
      <w:color w:val="902000"/>
      <w:sz w:val="22"/>
      <w:shd w:val="clear" w:color="auto" w:fill="F0F0F0"/>
    </w:rPr>
  </w:style>
  <w:style w:type="character" w:customStyle="1" w:styleId="58">
    <w:name w:val="DecValTok"/>
    <w:basedOn w:val="53"/>
    <w:qFormat/>
    <w:uiPriority w:val="0"/>
    <w:rPr>
      <w:rFonts w:ascii="Consolas" w:hAnsi="Consolas"/>
      <w:color w:val="40A070"/>
      <w:sz w:val="22"/>
      <w:shd w:val="clear" w:color="auto" w:fill="F0F0F0"/>
    </w:rPr>
  </w:style>
  <w:style w:type="character" w:customStyle="1" w:styleId="59">
    <w:name w:val="BaseNTok"/>
    <w:basedOn w:val="53"/>
    <w:qFormat/>
    <w:uiPriority w:val="0"/>
    <w:rPr>
      <w:rFonts w:ascii="Consolas" w:hAnsi="Consolas"/>
      <w:color w:val="40A070"/>
      <w:sz w:val="22"/>
      <w:shd w:val="clear" w:color="auto" w:fill="F0F0F0"/>
    </w:rPr>
  </w:style>
  <w:style w:type="character" w:customStyle="1" w:styleId="60">
    <w:name w:val="FloatTok"/>
    <w:basedOn w:val="53"/>
    <w:qFormat/>
    <w:uiPriority w:val="0"/>
    <w:rPr>
      <w:rFonts w:ascii="Consolas" w:hAnsi="Consolas"/>
      <w:color w:val="40A070"/>
      <w:sz w:val="22"/>
      <w:shd w:val="clear" w:color="auto" w:fill="F0F0F0"/>
    </w:rPr>
  </w:style>
  <w:style w:type="character" w:customStyle="1" w:styleId="61">
    <w:name w:val="ConstantTok"/>
    <w:basedOn w:val="53"/>
    <w:qFormat/>
    <w:uiPriority w:val="0"/>
    <w:rPr>
      <w:rFonts w:ascii="Consolas" w:hAnsi="Consolas"/>
      <w:color w:val="880000"/>
      <w:sz w:val="22"/>
      <w:shd w:val="clear" w:color="auto" w:fill="F0F0F0"/>
    </w:rPr>
  </w:style>
  <w:style w:type="character" w:customStyle="1" w:styleId="62">
    <w:name w:val="CharTok"/>
    <w:basedOn w:val="53"/>
    <w:qFormat/>
    <w:uiPriority w:val="0"/>
    <w:rPr>
      <w:rFonts w:ascii="Consolas" w:hAnsi="Consolas"/>
      <w:color w:val="4070A0"/>
      <w:sz w:val="22"/>
      <w:shd w:val="clear" w:color="auto" w:fill="F0F0F0"/>
    </w:rPr>
  </w:style>
  <w:style w:type="character" w:customStyle="1" w:styleId="63">
    <w:name w:val="SpecialCharTok"/>
    <w:basedOn w:val="53"/>
    <w:qFormat/>
    <w:uiPriority w:val="0"/>
    <w:rPr>
      <w:rFonts w:ascii="Consolas" w:hAnsi="Consolas"/>
      <w:color w:val="4070A0"/>
      <w:sz w:val="22"/>
      <w:shd w:val="clear" w:color="auto" w:fill="F0F0F0"/>
    </w:rPr>
  </w:style>
  <w:style w:type="character" w:customStyle="1" w:styleId="64">
    <w:name w:val="StringTok"/>
    <w:basedOn w:val="53"/>
    <w:qFormat/>
    <w:uiPriority w:val="0"/>
    <w:rPr>
      <w:rFonts w:ascii="Consolas" w:hAnsi="Consolas"/>
      <w:color w:val="4070A0"/>
      <w:sz w:val="22"/>
      <w:shd w:val="clear" w:color="auto" w:fill="F0F0F0"/>
    </w:rPr>
  </w:style>
  <w:style w:type="character" w:customStyle="1" w:styleId="65">
    <w:name w:val="VerbatimStringTok"/>
    <w:basedOn w:val="53"/>
    <w:qFormat/>
    <w:uiPriority w:val="0"/>
    <w:rPr>
      <w:rFonts w:ascii="Consolas" w:hAnsi="Consolas"/>
      <w:color w:val="4070A0"/>
      <w:sz w:val="22"/>
      <w:shd w:val="clear" w:color="auto" w:fill="F0F0F0"/>
    </w:rPr>
  </w:style>
  <w:style w:type="character" w:customStyle="1" w:styleId="66">
    <w:name w:val="SpecialStringTok"/>
    <w:basedOn w:val="53"/>
    <w:qFormat/>
    <w:uiPriority w:val="0"/>
    <w:rPr>
      <w:rFonts w:ascii="Consolas" w:hAnsi="Consolas"/>
      <w:color w:val="BB6688"/>
      <w:sz w:val="22"/>
      <w:shd w:val="clear" w:color="auto" w:fill="F0F0F0"/>
    </w:rPr>
  </w:style>
  <w:style w:type="character" w:customStyle="1" w:styleId="67">
    <w:name w:val="ImportTok"/>
    <w:basedOn w:val="53"/>
    <w:qFormat/>
    <w:uiPriority w:val="0"/>
    <w:rPr>
      <w:rFonts w:ascii="Consolas" w:hAnsi="Consolas"/>
      <w:b/>
      <w:color w:val="008000"/>
      <w:sz w:val="22"/>
      <w:shd w:val="clear" w:color="auto" w:fill="F0F0F0"/>
    </w:rPr>
  </w:style>
  <w:style w:type="character" w:customStyle="1" w:styleId="68">
    <w:name w:val="CommentTok"/>
    <w:basedOn w:val="53"/>
    <w:qFormat/>
    <w:uiPriority w:val="0"/>
    <w:rPr>
      <w:rFonts w:ascii="Consolas" w:hAnsi="Consolas"/>
      <w:i/>
      <w:color w:val="60A0B0"/>
      <w:sz w:val="22"/>
      <w:shd w:val="clear" w:color="auto" w:fill="F0F0F0"/>
    </w:rPr>
  </w:style>
  <w:style w:type="character" w:customStyle="1" w:styleId="69">
    <w:name w:val="DocumentationTok"/>
    <w:basedOn w:val="53"/>
    <w:qFormat/>
    <w:uiPriority w:val="0"/>
    <w:rPr>
      <w:rFonts w:ascii="Consolas" w:hAnsi="Consolas"/>
      <w:i/>
      <w:color w:val="BA2121"/>
      <w:sz w:val="22"/>
      <w:shd w:val="clear" w:color="auto" w:fill="F0F0F0"/>
    </w:rPr>
  </w:style>
  <w:style w:type="character" w:customStyle="1" w:styleId="70">
    <w:name w:val="AnnotationTok"/>
    <w:basedOn w:val="53"/>
    <w:qFormat/>
    <w:uiPriority w:val="0"/>
    <w:rPr>
      <w:rFonts w:ascii="Consolas" w:hAnsi="Consolas"/>
      <w:b/>
      <w:i/>
      <w:color w:val="60A0B0"/>
      <w:sz w:val="22"/>
      <w:shd w:val="clear" w:color="auto" w:fill="F0F0F0"/>
    </w:rPr>
  </w:style>
  <w:style w:type="character" w:customStyle="1" w:styleId="71">
    <w:name w:val="CommentVarTok"/>
    <w:basedOn w:val="53"/>
    <w:qFormat/>
    <w:uiPriority w:val="0"/>
    <w:rPr>
      <w:rFonts w:ascii="Consolas" w:hAnsi="Consolas"/>
      <w:b/>
      <w:i/>
      <w:color w:val="60A0B0"/>
      <w:sz w:val="22"/>
      <w:shd w:val="clear" w:color="auto" w:fill="F0F0F0"/>
    </w:rPr>
  </w:style>
  <w:style w:type="character" w:customStyle="1" w:styleId="72">
    <w:name w:val="OtherTok"/>
    <w:basedOn w:val="53"/>
    <w:qFormat/>
    <w:uiPriority w:val="0"/>
    <w:rPr>
      <w:rFonts w:ascii="Consolas" w:hAnsi="Consolas"/>
      <w:color w:val="007020"/>
      <w:sz w:val="22"/>
      <w:shd w:val="clear" w:color="auto" w:fill="F0F0F0"/>
    </w:rPr>
  </w:style>
  <w:style w:type="character" w:customStyle="1" w:styleId="73">
    <w:name w:val="FunctionTok"/>
    <w:basedOn w:val="53"/>
    <w:qFormat/>
    <w:uiPriority w:val="0"/>
    <w:rPr>
      <w:rFonts w:ascii="Consolas" w:hAnsi="Consolas"/>
      <w:color w:val="06287E"/>
      <w:sz w:val="22"/>
      <w:shd w:val="clear" w:color="auto" w:fill="F0F0F0"/>
    </w:rPr>
  </w:style>
  <w:style w:type="character" w:customStyle="1" w:styleId="74">
    <w:name w:val="VariableTok"/>
    <w:basedOn w:val="53"/>
    <w:qFormat/>
    <w:uiPriority w:val="0"/>
    <w:rPr>
      <w:rFonts w:ascii="Consolas" w:hAnsi="Consolas"/>
      <w:color w:val="19177C"/>
      <w:sz w:val="22"/>
      <w:shd w:val="clear" w:color="auto" w:fill="F0F0F0"/>
    </w:rPr>
  </w:style>
  <w:style w:type="character" w:customStyle="1" w:styleId="75">
    <w:name w:val="ControlFlowTok"/>
    <w:basedOn w:val="53"/>
    <w:qFormat/>
    <w:uiPriority w:val="0"/>
    <w:rPr>
      <w:rFonts w:ascii="Consolas" w:hAnsi="Consolas"/>
      <w:b/>
      <w:color w:val="007020"/>
      <w:sz w:val="22"/>
      <w:shd w:val="clear" w:color="auto" w:fill="F0F0F0"/>
    </w:rPr>
  </w:style>
  <w:style w:type="character" w:customStyle="1" w:styleId="76">
    <w:name w:val="OperatorTok"/>
    <w:basedOn w:val="53"/>
    <w:qFormat/>
    <w:uiPriority w:val="0"/>
    <w:rPr>
      <w:rFonts w:ascii="Consolas" w:hAnsi="Consolas"/>
      <w:color w:val="666666"/>
      <w:sz w:val="22"/>
      <w:shd w:val="clear" w:color="auto" w:fill="F0F0F0"/>
    </w:rPr>
  </w:style>
  <w:style w:type="character" w:customStyle="1" w:styleId="77">
    <w:name w:val="BuiltInTok"/>
    <w:basedOn w:val="53"/>
    <w:qFormat/>
    <w:uiPriority w:val="0"/>
    <w:rPr>
      <w:rFonts w:ascii="Consolas" w:hAnsi="Consolas"/>
      <w:color w:val="008000"/>
      <w:sz w:val="22"/>
      <w:shd w:val="clear" w:color="auto" w:fill="F0F0F0"/>
    </w:rPr>
  </w:style>
  <w:style w:type="character" w:customStyle="1" w:styleId="78">
    <w:name w:val="ExtensionTok"/>
    <w:basedOn w:val="53"/>
    <w:qFormat/>
    <w:uiPriority w:val="0"/>
    <w:rPr>
      <w:rFonts w:ascii="Consolas" w:hAnsi="Consolas"/>
      <w:color w:val="333333"/>
      <w:sz w:val="22"/>
      <w:shd w:val="clear" w:color="auto" w:fill="F0F0F0"/>
    </w:rPr>
  </w:style>
  <w:style w:type="character" w:customStyle="1" w:styleId="79">
    <w:name w:val="PreprocessorTok"/>
    <w:basedOn w:val="53"/>
    <w:qFormat/>
    <w:uiPriority w:val="0"/>
    <w:rPr>
      <w:rFonts w:ascii="Consolas" w:hAnsi="Consolas"/>
      <w:color w:val="BC7A00"/>
      <w:sz w:val="22"/>
      <w:shd w:val="clear" w:color="auto" w:fill="F0F0F0"/>
    </w:rPr>
  </w:style>
  <w:style w:type="character" w:customStyle="1" w:styleId="80">
    <w:name w:val="AttributeTok"/>
    <w:basedOn w:val="53"/>
    <w:qFormat/>
    <w:uiPriority w:val="0"/>
    <w:rPr>
      <w:rFonts w:ascii="Consolas" w:hAnsi="Consolas"/>
      <w:color w:val="7D9029"/>
      <w:sz w:val="22"/>
      <w:shd w:val="clear" w:color="auto" w:fill="F0F0F0"/>
    </w:rPr>
  </w:style>
  <w:style w:type="character" w:customStyle="1" w:styleId="81">
    <w:name w:val="RegionMarkerTok"/>
    <w:basedOn w:val="53"/>
    <w:qFormat/>
    <w:uiPriority w:val="0"/>
    <w:rPr>
      <w:rFonts w:ascii="Consolas" w:hAnsi="Consolas"/>
      <w:color w:val="333333"/>
      <w:sz w:val="22"/>
      <w:shd w:val="clear" w:color="auto" w:fill="F0F0F0"/>
    </w:rPr>
  </w:style>
  <w:style w:type="character" w:customStyle="1" w:styleId="82">
    <w:name w:val="InformationTok"/>
    <w:basedOn w:val="53"/>
    <w:qFormat/>
    <w:uiPriority w:val="0"/>
    <w:rPr>
      <w:rFonts w:ascii="Consolas" w:hAnsi="Consolas"/>
      <w:b/>
      <w:i/>
      <w:color w:val="60A0B0"/>
      <w:sz w:val="22"/>
      <w:shd w:val="clear" w:color="auto" w:fill="F0F0F0"/>
    </w:rPr>
  </w:style>
  <w:style w:type="character" w:customStyle="1" w:styleId="83">
    <w:name w:val="WarningTok"/>
    <w:basedOn w:val="53"/>
    <w:qFormat/>
    <w:uiPriority w:val="0"/>
    <w:rPr>
      <w:rFonts w:ascii="Consolas" w:hAnsi="Consolas"/>
      <w:b/>
      <w:i/>
      <w:color w:val="60A0B0"/>
      <w:sz w:val="22"/>
      <w:shd w:val="clear" w:color="auto" w:fill="F0F0F0"/>
    </w:rPr>
  </w:style>
  <w:style w:type="character" w:customStyle="1" w:styleId="84">
    <w:name w:val="AlertTok"/>
    <w:basedOn w:val="53"/>
    <w:qFormat/>
    <w:uiPriority w:val="0"/>
    <w:rPr>
      <w:rFonts w:ascii="Consolas" w:hAnsi="Consolas"/>
      <w:b/>
      <w:color w:val="FF0000"/>
      <w:sz w:val="22"/>
      <w:shd w:val="clear" w:color="auto" w:fill="F0F0F0"/>
    </w:rPr>
  </w:style>
  <w:style w:type="character" w:customStyle="1" w:styleId="85">
    <w:name w:val="ErrorTok"/>
    <w:basedOn w:val="53"/>
    <w:qFormat/>
    <w:uiPriority w:val="0"/>
    <w:rPr>
      <w:rFonts w:ascii="Consolas" w:hAnsi="Consolas"/>
      <w:b/>
      <w:color w:val="FF0000"/>
      <w:sz w:val="22"/>
      <w:shd w:val="clear" w:color="auto" w:fill="F0F0F0"/>
    </w:rPr>
  </w:style>
  <w:style w:type="character" w:customStyle="1" w:styleId="86">
    <w:name w:val="NormalTok"/>
    <w:basedOn w:val="53"/>
    <w:qFormat/>
    <w:uiPriority w:val="0"/>
    <w:rPr>
      <w:rFonts w:ascii="Consolas" w:hAnsi="Consolas"/>
      <w:color w:val="333333"/>
      <w:sz w:val="22"/>
      <w:shd w:val="clear" w:color="auto" w:fill="F0F0F0"/>
    </w:rPr>
  </w:style>
  <w:style w:type="paragraph" w:styleId="87">
    <w:name w:val="List Paragraph"/>
    <w:basedOn w:val="1"/>
    <w:qFormat/>
    <w:uiPriority w:val="99"/>
    <w:pPr>
      <w:ind w:firstLine="420" w:firstLineChars="200"/>
    </w:pPr>
  </w:style>
  <w:style w:type="character" w:customStyle="1" w:styleId="88">
    <w:name w:val="页眉 字符"/>
    <w:basedOn w:val="22"/>
    <w:link w:val="17"/>
    <w:qFormat/>
    <w:uiPriority w:val="0"/>
    <w:rPr>
      <w:sz w:val="18"/>
      <w:szCs w:val="18"/>
    </w:rPr>
  </w:style>
  <w:style w:type="character" w:customStyle="1" w:styleId="89">
    <w:name w:val="页脚 字符"/>
    <w:basedOn w:val="22"/>
    <w:link w:val="16"/>
    <w:qFormat/>
    <w:uiPriority w:val="99"/>
    <w:rPr>
      <w:sz w:val="18"/>
      <w:szCs w:val="18"/>
    </w:rPr>
  </w:style>
  <w:style w:type="table" w:customStyle="1" w:styleId="90">
    <w:name w:val="网格型1"/>
    <w:basedOn w:val="20"/>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5252</Words>
  <Characters>5673</Characters>
  <Lines>48</Lines>
  <Paragraphs>13</Paragraphs>
  <TotalTime>1</TotalTime>
  <ScaleCrop>false</ScaleCrop>
  <LinksUpToDate>false</LinksUpToDate>
  <CharactersWithSpaces>5699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2026-08-20T08:53:00Z</dcterms:created>
  <dc:creator>LENOVO</dc:creator>
  <cp:lastModifiedBy>曹军</cp:lastModifiedBy>
  <dcterms:modified xsi:type="dcterms:W3CDTF">2026-08-24T08:56:28Z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{"ContentPropagator":"001191440101MA9Y9T4H7A00000","Label":"1","ReservedCode1":"hEwIPlR5FRiFAMMXn0pWMi0EavyXG/RFfzLuC9fPSbI=","ProduceID":"doc_sgs:cd77103f-b8ad-40df-b36c-80e59cb7d399","ReservedCode2":"hEwIPlR5FRiFAMMXn0pWMi0EavyXG/RFfzLuC9fPSbI=","Propag</vt:lpwstr>
  </property>
  <property fmtid="{D5CDD505-2E9C-101B-9397-08002B2CF9AE}" pid="3" name="KSOTemplateDocerSaveRecord">
    <vt:lpwstr>eyJoZGlkIjoiYjUwNGJkMDgzYjNiNGE2OWQ1MmQ3ZTVmMTc0YjFjYzQiLCJ1c2VySWQiOiIzMjUyNjg2NDYifQ==</vt:lpwstr>
  </property>
  <property fmtid="{D5CDD505-2E9C-101B-9397-08002B2CF9AE}" pid="4" name="KSOProductBuildVer">
    <vt:lpwstr>2052-12.1.0.28043</vt:lpwstr>
  </property>
  <property fmtid="{D5CDD505-2E9C-101B-9397-08002B2CF9AE}" pid="5" name="ICV">
    <vt:lpwstr>4534B5C83B034FFFB31269BB2441CFE9_13</vt:lpwstr>
  </property>
</Properties>
</file>